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11FB0" w:rsidRPr="00AF228B" w14:paraId="5602406E" w14:textId="77777777" w:rsidTr="00AD4F11">
        <w:tc>
          <w:tcPr>
            <w:tcW w:w="9212" w:type="dxa"/>
            <w:shd w:val="clear" w:color="auto" w:fill="auto"/>
          </w:tcPr>
          <w:p w14:paraId="5602406D" w14:textId="6E2F4702" w:rsidR="00111FB0" w:rsidRPr="00AF228B" w:rsidRDefault="00111FB0">
            <w:pPr>
              <w:rPr>
                <w:rFonts w:cs="Arial"/>
                <w:b/>
                <w:sz w:val="20"/>
                <w:szCs w:val="20"/>
              </w:rPr>
            </w:pPr>
            <w:r w:rsidRPr="00AF228B">
              <w:rPr>
                <w:rFonts w:cs="Arial"/>
                <w:b/>
                <w:sz w:val="20"/>
                <w:szCs w:val="20"/>
              </w:rPr>
              <w:t xml:space="preserve">SCHRIFTELIJKE VRAGEN, ex artikel </w:t>
            </w:r>
            <w:r w:rsidR="00715B5B" w:rsidRPr="00AF228B">
              <w:rPr>
                <w:rFonts w:cs="Arial"/>
                <w:b/>
                <w:sz w:val="20"/>
                <w:szCs w:val="20"/>
              </w:rPr>
              <w:t xml:space="preserve">41 </w:t>
            </w:r>
            <w:r w:rsidRPr="00AF228B">
              <w:rPr>
                <w:rFonts w:cs="Arial"/>
                <w:b/>
                <w:sz w:val="20"/>
                <w:szCs w:val="20"/>
              </w:rPr>
              <w:t>Reglement van Orde</w:t>
            </w:r>
          </w:p>
        </w:tc>
      </w:tr>
    </w:tbl>
    <w:p w14:paraId="56024070" w14:textId="77777777" w:rsidR="00111FB0" w:rsidRPr="00AF228B" w:rsidRDefault="00111FB0">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7687"/>
      </w:tblGrid>
      <w:tr w:rsidR="00111FB0" w:rsidRPr="00AF228B" w14:paraId="56024075" w14:textId="77777777" w:rsidTr="00AF228B">
        <w:tc>
          <w:tcPr>
            <w:tcW w:w="1384" w:type="dxa"/>
            <w:shd w:val="clear" w:color="auto" w:fill="auto"/>
          </w:tcPr>
          <w:p w14:paraId="56024072" w14:textId="55D17E0A" w:rsidR="00111FB0" w:rsidRPr="00AF228B" w:rsidRDefault="00111FB0">
            <w:pPr>
              <w:rPr>
                <w:rFonts w:cs="Arial"/>
                <w:sz w:val="20"/>
                <w:szCs w:val="20"/>
              </w:rPr>
            </w:pPr>
            <w:r w:rsidRPr="00AF228B">
              <w:rPr>
                <w:rFonts w:cs="Arial"/>
                <w:sz w:val="20"/>
                <w:szCs w:val="20"/>
              </w:rPr>
              <w:t>Gericht aan</w:t>
            </w:r>
          </w:p>
          <w:p w14:paraId="56024073" w14:textId="77777777" w:rsidR="00111FB0" w:rsidRPr="00AF228B" w:rsidRDefault="00111FB0">
            <w:pPr>
              <w:rPr>
                <w:rFonts w:cs="Arial"/>
                <w:sz w:val="20"/>
                <w:szCs w:val="20"/>
              </w:rPr>
            </w:pPr>
          </w:p>
        </w:tc>
        <w:tc>
          <w:tcPr>
            <w:tcW w:w="7828" w:type="dxa"/>
            <w:shd w:val="clear" w:color="auto" w:fill="auto"/>
          </w:tcPr>
          <w:p w14:paraId="56024074" w14:textId="3B27CFA7" w:rsidR="00111FB0" w:rsidRPr="00AF228B" w:rsidRDefault="00631C10">
            <w:pPr>
              <w:rPr>
                <w:rFonts w:cs="Arial"/>
                <w:sz w:val="20"/>
                <w:szCs w:val="20"/>
              </w:rPr>
            </w:pPr>
            <w:r w:rsidRPr="00AF228B">
              <w:rPr>
                <w:rFonts w:cs="Arial"/>
                <w:sz w:val="20"/>
                <w:szCs w:val="20"/>
              </w:rPr>
              <w:t>GS</w:t>
            </w:r>
          </w:p>
        </w:tc>
      </w:tr>
      <w:tr w:rsidR="002232E8" w:rsidRPr="00AF228B" w14:paraId="5602407B" w14:textId="77777777" w:rsidTr="00AF228B">
        <w:tc>
          <w:tcPr>
            <w:tcW w:w="1384" w:type="dxa"/>
            <w:shd w:val="clear" w:color="auto" w:fill="auto"/>
          </w:tcPr>
          <w:p w14:paraId="56024076" w14:textId="77777777" w:rsidR="002232E8" w:rsidRPr="00AF228B" w:rsidRDefault="002232E8">
            <w:pPr>
              <w:rPr>
                <w:rFonts w:cs="Arial"/>
                <w:sz w:val="20"/>
                <w:szCs w:val="20"/>
              </w:rPr>
            </w:pPr>
            <w:r w:rsidRPr="00AF228B">
              <w:rPr>
                <w:rFonts w:cs="Arial"/>
                <w:sz w:val="20"/>
                <w:szCs w:val="20"/>
              </w:rPr>
              <w:t>Inleidende toelichting</w:t>
            </w:r>
          </w:p>
          <w:p w14:paraId="56024077" w14:textId="48F515C6" w:rsidR="0096096A" w:rsidRPr="00AF228B" w:rsidRDefault="0096096A">
            <w:pPr>
              <w:rPr>
                <w:rFonts w:cs="Arial"/>
                <w:sz w:val="20"/>
                <w:szCs w:val="20"/>
              </w:rPr>
            </w:pPr>
          </w:p>
        </w:tc>
        <w:tc>
          <w:tcPr>
            <w:tcW w:w="7828" w:type="dxa"/>
            <w:shd w:val="clear" w:color="auto" w:fill="auto"/>
          </w:tcPr>
          <w:p w14:paraId="2A941F0E" w14:textId="17E77A12" w:rsidR="009A74EE" w:rsidRDefault="00AF228B" w:rsidP="00AF228B">
            <w:pPr>
              <w:spacing w:before="100" w:beforeAutospacing="1" w:after="100" w:afterAutospacing="1"/>
              <w:rPr>
                <w:rFonts w:cs="Arial"/>
                <w:sz w:val="20"/>
                <w:szCs w:val="20"/>
              </w:rPr>
            </w:pPr>
            <w:proofErr w:type="spellStart"/>
            <w:r w:rsidRPr="00AF228B">
              <w:rPr>
                <w:rFonts w:cs="Arial"/>
                <w:sz w:val="20"/>
                <w:szCs w:val="20"/>
              </w:rPr>
              <w:t>Frisia</w:t>
            </w:r>
            <w:proofErr w:type="spellEnd"/>
            <w:r w:rsidRPr="00AF228B">
              <w:rPr>
                <w:rFonts w:cs="Arial"/>
                <w:sz w:val="20"/>
                <w:szCs w:val="20"/>
              </w:rPr>
              <w:t xml:space="preserve"> BV is voornemens binnenkort te beginnen met het boren naar zout</w:t>
            </w:r>
            <w:r w:rsidR="000B3BD6">
              <w:rPr>
                <w:rFonts w:cs="Arial"/>
                <w:sz w:val="20"/>
                <w:szCs w:val="20"/>
              </w:rPr>
              <w:t xml:space="preserve"> onder</w:t>
            </w:r>
            <w:r w:rsidRPr="00AF228B">
              <w:rPr>
                <w:rFonts w:cs="Arial"/>
                <w:sz w:val="20"/>
                <w:szCs w:val="20"/>
              </w:rPr>
              <w:t xml:space="preserve"> de bodem van de Waddenzee. De risico's van zoutwinning worden consequent onderschat, zegt oud werknemer van de NAM en bodemdalingsdeskundige Adriaan Houtenbos</w:t>
            </w:r>
            <w:r>
              <w:rPr>
                <w:rFonts w:cs="Arial"/>
                <w:sz w:val="20"/>
                <w:szCs w:val="20"/>
              </w:rPr>
              <w:t>.</w:t>
            </w:r>
            <w:r>
              <w:rPr>
                <w:rStyle w:val="Voetnootmarkering"/>
                <w:rFonts w:cs="Arial"/>
                <w:sz w:val="20"/>
                <w:szCs w:val="20"/>
              </w:rPr>
              <w:footnoteReference w:id="1"/>
            </w:r>
            <w:r w:rsidRPr="00AF228B">
              <w:rPr>
                <w:rFonts w:cs="Arial"/>
                <w:sz w:val="20"/>
                <w:szCs w:val="20"/>
              </w:rPr>
              <w:t xml:space="preserve"> Net als bij de aardgaswinning in Groningen, kan zoutwinning aardbevingen, </w:t>
            </w:r>
            <w:proofErr w:type="spellStart"/>
            <w:r w:rsidRPr="00AF228B">
              <w:rPr>
                <w:rFonts w:cs="Arial"/>
                <w:sz w:val="20"/>
                <w:szCs w:val="20"/>
              </w:rPr>
              <w:t>sinkholes</w:t>
            </w:r>
            <w:proofErr w:type="spellEnd"/>
            <w:r w:rsidRPr="00AF228B">
              <w:rPr>
                <w:rFonts w:cs="Arial"/>
                <w:sz w:val="20"/>
                <w:szCs w:val="20"/>
              </w:rPr>
              <w:t xml:space="preserve"> en wateroverlast veroorzaken. In het ergste geval  kunnen wadplaten verdwijnen. Verder kunnen wanden van zoutwinningsputten instorten, leidingen kunnen breken en bovendien wordt diesel gebruikt om zoutputten af te sluiten met alle risico's van dien. </w:t>
            </w:r>
          </w:p>
          <w:p w14:paraId="086CDDD4" w14:textId="0316A481" w:rsidR="009A74EE" w:rsidRDefault="00A31580" w:rsidP="00AF228B">
            <w:pPr>
              <w:spacing w:before="100" w:beforeAutospacing="1" w:after="100" w:afterAutospacing="1"/>
              <w:rPr>
                <w:rFonts w:cs="Arial"/>
                <w:sz w:val="20"/>
                <w:szCs w:val="20"/>
              </w:rPr>
            </w:pPr>
            <w:r>
              <w:rPr>
                <w:rFonts w:cs="Arial"/>
                <w:sz w:val="20"/>
                <w:szCs w:val="20"/>
              </w:rPr>
              <w:t xml:space="preserve">Ook </w:t>
            </w:r>
            <w:r w:rsidR="007A085A">
              <w:rPr>
                <w:rFonts w:cs="Arial"/>
                <w:sz w:val="20"/>
                <w:szCs w:val="20"/>
              </w:rPr>
              <w:t>Staatstoezicht op de Mijnen (</w:t>
            </w:r>
            <w:proofErr w:type="spellStart"/>
            <w:r w:rsidR="00096414">
              <w:rPr>
                <w:rFonts w:cs="Arial"/>
                <w:sz w:val="20"/>
                <w:szCs w:val="20"/>
              </w:rPr>
              <w:t>SodM</w:t>
            </w:r>
            <w:proofErr w:type="spellEnd"/>
            <w:r w:rsidR="007A085A">
              <w:rPr>
                <w:rFonts w:cs="Arial"/>
                <w:sz w:val="20"/>
                <w:szCs w:val="20"/>
              </w:rPr>
              <w:t>)</w:t>
            </w:r>
            <w:r w:rsidR="00096414">
              <w:rPr>
                <w:rFonts w:cs="Arial"/>
                <w:sz w:val="20"/>
                <w:szCs w:val="20"/>
              </w:rPr>
              <w:t xml:space="preserve"> </w:t>
            </w:r>
            <w:r w:rsidR="007A085A">
              <w:rPr>
                <w:rFonts w:cs="Arial"/>
                <w:sz w:val="20"/>
                <w:szCs w:val="20"/>
              </w:rPr>
              <w:t>(</w:t>
            </w:r>
            <w:r w:rsidR="007A085A" w:rsidRPr="007A085A">
              <w:rPr>
                <w:rFonts w:cs="Arial"/>
                <w:sz w:val="20"/>
                <w:szCs w:val="20"/>
              </w:rPr>
              <w:t xml:space="preserve">onafhankelijke </w:t>
            </w:r>
            <w:r w:rsidR="007A085A" w:rsidRPr="003F2721">
              <w:rPr>
                <w:sz w:val="20"/>
                <w:szCs w:val="20"/>
              </w:rPr>
              <w:t>toezichthouder op de delfstoffen- en energiewinning</w:t>
            </w:r>
            <w:r w:rsidR="007A085A">
              <w:rPr>
                <w:sz w:val="20"/>
                <w:szCs w:val="20"/>
              </w:rPr>
              <w:t>)</w:t>
            </w:r>
            <w:r w:rsidR="007A085A" w:rsidRPr="003F2721">
              <w:rPr>
                <w:sz w:val="20"/>
                <w:szCs w:val="20"/>
              </w:rPr>
              <w:t xml:space="preserve"> </w:t>
            </w:r>
            <w:r w:rsidR="00096414" w:rsidRPr="007A085A">
              <w:rPr>
                <w:rFonts w:cs="Arial"/>
                <w:sz w:val="20"/>
                <w:szCs w:val="20"/>
              </w:rPr>
              <w:t xml:space="preserve">heeft </w:t>
            </w:r>
            <w:r w:rsidRPr="007A085A">
              <w:rPr>
                <w:rFonts w:cs="Arial"/>
                <w:sz w:val="20"/>
                <w:szCs w:val="20"/>
              </w:rPr>
              <w:t>i</w:t>
            </w:r>
            <w:r>
              <w:rPr>
                <w:rFonts w:cs="Arial"/>
                <w:sz w:val="20"/>
                <w:szCs w:val="20"/>
              </w:rPr>
              <w:t>n haar rapport ‘De staat van de sector zout’ (2018)</w:t>
            </w:r>
            <w:r>
              <w:rPr>
                <w:rStyle w:val="Voetnootmarkering"/>
                <w:rFonts w:cs="Arial"/>
                <w:sz w:val="20"/>
                <w:szCs w:val="20"/>
              </w:rPr>
              <w:footnoteReference w:id="2"/>
            </w:r>
            <w:r>
              <w:rPr>
                <w:rFonts w:cs="Arial"/>
                <w:sz w:val="20"/>
                <w:szCs w:val="20"/>
              </w:rPr>
              <w:t xml:space="preserve"> </w:t>
            </w:r>
            <w:r w:rsidR="007A085A">
              <w:rPr>
                <w:rFonts w:cs="Arial"/>
                <w:sz w:val="20"/>
                <w:szCs w:val="20"/>
              </w:rPr>
              <w:t xml:space="preserve">o.a. </w:t>
            </w:r>
            <w:r>
              <w:rPr>
                <w:rFonts w:cs="Arial"/>
                <w:sz w:val="20"/>
                <w:szCs w:val="20"/>
              </w:rPr>
              <w:t>het ‘korte termijn denken’ van de zoutwinningsindustrie, het gevaar op instorten van (te grote of te veel) cavernes</w:t>
            </w:r>
            <w:r w:rsidR="007A085A">
              <w:rPr>
                <w:rFonts w:cs="Arial"/>
                <w:sz w:val="20"/>
                <w:szCs w:val="20"/>
              </w:rPr>
              <w:t xml:space="preserve"> en </w:t>
            </w:r>
            <w:r>
              <w:rPr>
                <w:rFonts w:cs="Arial"/>
                <w:sz w:val="20"/>
                <w:szCs w:val="20"/>
              </w:rPr>
              <w:t xml:space="preserve">het </w:t>
            </w:r>
            <w:r w:rsidR="007A085A">
              <w:rPr>
                <w:rFonts w:cs="Arial"/>
                <w:sz w:val="20"/>
                <w:szCs w:val="20"/>
              </w:rPr>
              <w:t xml:space="preserve">risico bij het </w:t>
            </w:r>
            <w:r>
              <w:rPr>
                <w:rFonts w:cs="Arial"/>
                <w:sz w:val="20"/>
                <w:szCs w:val="20"/>
              </w:rPr>
              <w:t xml:space="preserve">gebruik van diesel </w:t>
            </w:r>
            <w:r w:rsidR="007A085A">
              <w:rPr>
                <w:rFonts w:cs="Arial"/>
                <w:sz w:val="20"/>
                <w:szCs w:val="20"/>
              </w:rPr>
              <w:t xml:space="preserve">als afdekking </w:t>
            </w:r>
            <w:r>
              <w:rPr>
                <w:rFonts w:cs="Arial"/>
                <w:sz w:val="20"/>
                <w:szCs w:val="20"/>
              </w:rPr>
              <w:t>benoemd</w:t>
            </w:r>
            <w:r w:rsidR="00D21DFC">
              <w:rPr>
                <w:rFonts w:cs="Arial"/>
                <w:sz w:val="20"/>
                <w:szCs w:val="20"/>
              </w:rPr>
              <w:t xml:space="preserve"> en de zoutwinningsbedrijven daarover</w:t>
            </w:r>
            <w:r w:rsidR="007A085A">
              <w:rPr>
                <w:rFonts w:cs="Arial"/>
                <w:sz w:val="20"/>
                <w:szCs w:val="20"/>
              </w:rPr>
              <w:t xml:space="preserve"> </w:t>
            </w:r>
            <w:r w:rsidR="00D21DFC">
              <w:rPr>
                <w:rFonts w:cs="Arial"/>
                <w:sz w:val="20"/>
                <w:szCs w:val="20"/>
              </w:rPr>
              <w:t xml:space="preserve">aangeschreven. </w:t>
            </w:r>
          </w:p>
          <w:p w14:paraId="5D073C37" w14:textId="538F52D9" w:rsidR="007A085A" w:rsidRDefault="00AF228B" w:rsidP="00AF228B">
            <w:pPr>
              <w:spacing w:before="100" w:beforeAutospacing="1" w:after="100" w:afterAutospacing="1"/>
              <w:rPr>
                <w:rFonts w:cs="Arial"/>
                <w:sz w:val="20"/>
                <w:szCs w:val="20"/>
              </w:rPr>
            </w:pPr>
            <w:r w:rsidRPr="00AF228B">
              <w:rPr>
                <w:rFonts w:cs="Arial"/>
                <w:sz w:val="20"/>
                <w:szCs w:val="20"/>
              </w:rPr>
              <w:t xml:space="preserve">Zowel bij aardgaswinning als bij zoutwinning worden de risico's gebagatelliseerd. Het Staatstoezicht op de Mijnen gaat controleren of het goed gaat met de zoutwinning. De Waddenvereniging vindt dit een wassen neus omdat </w:t>
            </w:r>
            <w:proofErr w:type="spellStart"/>
            <w:r w:rsidRPr="00AF228B">
              <w:rPr>
                <w:rFonts w:cs="Arial"/>
                <w:sz w:val="20"/>
                <w:szCs w:val="20"/>
              </w:rPr>
              <w:t>Frisia</w:t>
            </w:r>
            <w:proofErr w:type="spellEnd"/>
            <w:r w:rsidRPr="00AF228B">
              <w:rPr>
                <w:rFonts w:cs="Arial"/>
                <w:sz w:val="20"/>
                <w:szCs w:val="20"/>
              </w:rPr>
              <w:t xml:space="preserve"> zelf de monitoring organiseert</w:t>
            </w:r>
            <w:r>
              <w:rPr>
                <w:rFonts w:cs="Arial"/>
                <w:sz w:val="20"/>
                <w:szCs w:val="20"/>
              </w:rPr>
              <w:t>.</w:t>
            </w:r>
            <w:r>
              <w:rPr>
                <w:rStyle w:val="Voetnootmarkering"/>
                <w:rFonts w:cs="Arial"/>
                <w:sz w:val="20"/>
                <w:szCs w:val="20"/>
              </w:rPr>
              <w:footnoteReference w:id="3"/>
            </w:r>
            <w:bookmarkStart w:id="0" w:name="_GoBack"/>
            <w:bookmarkEnd w:id="0"/>
          </w:p>
          <w:p w14:paraId="62FF44CB" w14:textId="16B19AEB" w:rsidR="002D6C6A" w:rsidRDefault="007A085A" w:rsidP="00AF228B">
            <w:pPr>
              <w:spacing w:before="100" w:beforeAutospacing="1" w:after="100" w:afterAutospacing="1"/>
              <w:rPr>
                <w:rFonts w:cs="Arial"/>
                <w:sz w:val="20"/>
                <w:szCs w:val="20"/>
              </w:rPr>
            </w:pPr>
            <w:r>
              <w:rPr>
                <w:rFonts w:cs="Arial"/>
                <w:sz w:val="20"/>
                <w:szCs w:val="20"/>
              </w:rPr>
              <w:t>Daarnaast blijkt uit het IPCC-rapport</w:t>
            </w:r>
            <w:r w:rsidRPr="00E65456">
              <w:rPr>
                <w:rStyle w:val="Voetnootmarkering"/>
                <w:rFonts w:cs="Arial"/>
                <w:color w:val="FF0000"/>
                <w:sz w:val="20"/>
                <w:szCs w:val="20"/>
              </w:rPr>
              <w:footnoteReference w:id="4"/>
            </w:r>
            <w:r>
              <w:rPr>
                <w:rFonts w:cs="Arial"/>
                <w:sz w:val="20"/>
                <w:szCs w:val="20"/>
              </w:rPr>
              <w:t xml:space="preserve"> dat eind september werd gepresenteerd dat de zeespiegelstijging harder gaat dan verwacht. </w:t>
            </w:r>
            <w:r w:rsidR="002D6C6A">
              <w:rPr>
                <w:rFonts w:cs="Arial"/>
                <w:sz w:val="20"/>
                <w:szCs w:val="20"/>
              </w:rPr>
              <w:t xml:space="preserve">Dit heeft gevolgen voor de ruimte die er voor bodemdaling in de Waddenzee berekend wordt. </w:t>
            </w:r>
          </w:p>
          <w:p w14:paraId="5602407A" w14:textId="40219288" w:rsidR="002D6C6A" w:rsidRPr="00AF228B" w:rsidRDefault="002D6C6A" w:rsidP="00AF228B">
            <w:pPr>
              <w:spacing w:before="100" w:beforeAutospacing="1" w:after="100" w:afterAutospacing="1"/>
              <w:rPr>
                <w:rFonts w:cs="Arial"/>
                <w:sz w:val="20"/>
                <w:szCs w:val="20"/>
              </w:rPr>
            </w:pPr>
          </w:p>
        </w:tc>
      </w:tr>
      <w:tr w:rsidR="00111FB0" w:rsidRPr="00AF228B" w14:paraId="56024080" w14:textId="77777777" w:rsidTr="00AF228B">
        <w:tc>
          <w:tcPr>
            <w:tcW w:w="1384" w:type="dxa"/>
            <w:shd w:val="clear" w:color="auto" w:fill="auto"/>
          </w:tcPr>
          <w:p w14:paraId="5602407C" w14:textId="56C1C647" w:rsidR="00111FB0" w:rsidRPr="00AF228B" w:rsidRDefault="00111FB0">
            <w:pPr>
              <w:rPr>
                <w:rFonts w:cs="Arial"/>
                <w:sz w:val="20"/>
                <w:szCs w:val="20"/>
              </w:rPr>
            </w:pPr>
            <w:r w:rsidRPr="00AF228B">
              <w:rPr>
                <w:rFonts w:cs="Arial"/>
                <w:sz w:val="20"/>
                <w:szCs w:val="20"/>
              </w:rPr>
              <w:t>Vra</w:t>
            </w:r>
            <w:r w:rsidR="00AF228B" w:rsidRPr="00AF228B">
              <w:rPr>
                <w:rFonts w:cs="Arial"/>
                <w:sz w:val="20"/>
                <w:szCs w:val="20"/>
              </w:rPr>
              <w:t>gen</w:t>
            </w:r>
          </w:p>
          <w:p w14:paraId="5602407D" w14:textId="77777777" w:rsidR="00111FB0" w:rsidRPr="00AF228B" w:rsidRDefault="00111FB0">
            <w:pPr>
              <w:rPr>
                <w:rFonts w:cs="Arial"/>
                <w:sz w:val="20"/>
                <w:szCs w:val="20"/>
              </w:rPr>
            </w:pPr>
          </w:p>
          <w:p w14:paraId="5602407E" w14:textId="77777777" w:rsidR="00111FB0" w:rsidRPr="00AF228B" w:rsidRDefault="00111FB0">
            <w:pPr>
              <w:rPr>
                <w:rFonts w:cs="Arial"/>
                <w:sz w:val="20"/>
                <w:szCs w:val="20"/>
              </w:rPr>
            </w:pPr>
          </w:p>
        </w:tc>
        <w:tc>
          <w:tcPr>
            <w:tcW w:w="7828" w:type="dxa"/>
            <w:shd w:val="clear" w:color="auto" w:fill="auto"/>
          </w:tcPr>
          <w:p w14:paraId="6EF954D3" w14:textId="5F624ECB" w:rsidR="00AF228B" w:rsidRPr="00786F79" w:rsidRDefault="003F2721" w:rsidP="00007EF3">
            <w:pPr>
              <w:spacing w:before="100" w:beforeAutospacing="1" w:after="100" w:afterAutospacing="1"/>
              <w:ind w:left="720" w:hanging="360"/>
              <w:rPr>
                <w:rFonts w:cs="Arial"/>
                <w:sz w:val="20"/>
                <w:szCs w:val="20"/>
              </w:rPr>
            </w:pPr>
            <w:r w:rsidRPr="00786F79">
              <w:rPr>
                <w:rFonts w:cs="Arial"/>
                <w:sz w:val="20"/>
                <w:szCs w:val="20"/>
              </w:rPr>
              <w:t xml:space="preserve">1.   </w:t>
            </w:r>
            <w:r w:rsidR="00A31580" w:rsidRPr="00786F79">
              <w:rPr>
                <w:rFonts w:cs="Arial"/>
                <w:sz w:val="20"/>
                <w:szCs w:val="20"/>
              </w:rPr>
              <w:t xml:space="preserve">Bent u het met ons eens dat deze nieuwe feiten (de onzekerheid </w:t>
            </w:r>
            <w:r w:rsidR="00007EF3" w:rsidRPr="00786F79">
              <w:rPr>
                <w:rFonts w:cs="Arial"/>
                <w:sz w:val="20"/>
                <w:szCs w:val="20"/>
              </w:rPr>
              <w:t xml:space="preserve"> en risico’s</w:t>
            </w:r>
            <w:r w:rsidRPr="00786F79">
              <w:rPr>
                <w:rFonts w:cs="Arial"/>
                <w:sz w:val="20"/>
                <w:szCs w:val="20"/>
              </w:rPr>
              <w:t xml:space="preserve"> </w:t>
            </w:r>
            <w:r w:rsidR="00A31580" w:rsidRPr="00786F79">
              <w:rPr>
                <w:rFonts w:cs="Arial"/>
                <w:sz w:val="20"/>
                <w:szCs w:val="20"/>
              </w:rPr>
              <w:t xml:space="preserve">rond de effecten van de zoutwinning) </w:t>
            </w:r>
            <w:r w:rsidR="007A085A" w:rsidRPr="00786F79">
              <w:rPr>
                <w:rFonts w:cs="Arial"/>
                <w:sz w:val="20"/>
                <w:szCs w:val="20"/>
              </w:rPr>
              <w:t xml:space="preserve">een </w:t>
            </w:r>
            <w:r w:rsidR="00A31580" w:rsidRPr="00786F79">
              <w:rPr>
                <w:rFonts w:cs="Arial"/>
                <w:sz w:val="20"/>
                <w:szCs w:val="20"/>
              </w:rPr>
              <w:t xml:space="preserve">reden zou moeten zijn een ander standpunt over de zoutwinning </w:t>
            </w:r>
            <w:r w:rsidR="00007EF3" w:rsidRPr="00786F79">
              <w:rPr>
                <w:rFonts w:cs="Arial"/>
                <w:sz w:val="20"/>
                <w:szCs w:val="20"/>
              </w:rPr>
              <w:t xml:space="preserve">onder de Waddenzee </w:t>
            </w:r>
            <w:r w:rsidR="00A31580" w:rsidRPr="00786F79">
              <w:rPr>
                <w:rFonts w:cs="Arial"/>
                <w:sz w:val="20"/>
                <w:szCs w:val="20"/>
              </w:rPr>
              <w:t xml:space="preserve">in te nemen? </w:t>
            </w:r>
            <w:r w:rsidR="00AF228B" w:rsidRPr="00786F79">
              <w:rPr>
                <w:rFonts w:cs="Arial"/>
                <w:sz w:val="20"/>
                <w:szCs w:val="20"/>
              </w:rPr>
              <w:t>Zo nee, waarom niet,</w:t>
            </w:r>
            <w:r w:rsidR="00652F35" w:rsidRPr="00786F79">
              <w:rPr>
                <w:rFonts w:cs="Arial"/>
                <w:strike/>
                <w:sz w:val="20"/>
                <w:szCs w:val="20"/>
              </w:rPr>
              <w:t xml:space="preserve"> </w:t>
            </w:r>
            <w:r w:rsidR="00652F35" w:rsidRPr="00786F79">
              <w:rPr>
                <w:rFonts w:cs="Arial"/>
                <w:sz w:val="20"/>
                <w:szCs w:val="20"/>
              </w:rPr>
              <w:t xml:space="preserve"> mede gezien de kwetsbaarheid van het gebied? </w:t>
            </w:r>
          </w:p>
          <w:p w14:paraId="52AB589C" w14:textId="102957CE" w:rsidR="00007EF3" w:rsidRPr="00786F79" w:rsidRDefault="003F2721" w:rsidP="00007EF3">
            <w:pPr>
              <w:spacing w:before="100" w:beforeAutospacing="1" w:after="100" w:afterAutospacing="1"/>
              <w:ind w:left="720" w:hanging="360"/>
              <w:rPr>
                <w:rFonts w:cs="Arial"/>
                <w:sz w:val="20"/>
                <w:szCs w:val="20"/>
              </w:rPr>
            </w:pPr>
            <w:r w:rsidRPr="00786F79">
              <w:rPr>
                <w:rFonts w:cs="Arial"/>
                <w:sz w:val="20"/>
                <w:szCs w:val="20"/>
              </w:rPr>
              <w:t xml:space="preserve">2.  </w:t>
            </w:r>
            <w:r w:rsidR="00AF228B" w:rsidRPr="00786F79">
              <w:rPr>
                <w:rFonts w:cs="Arial"/>
                <w:sz w:val="20"/>
                <w:szCs w:val="20"/>
              </w:rPr>
              <w:t xml:space="preserve"> Bent u bereid </w:t>
            </w:r>
            <w:r w:rsidR="00007EF3" w:rsidRPr="00786F79">
              <w:rPr>
                <w:rFonts w:cs="Arial"/>
                <w:sz w:val="20"/>
                <w:szCs w:val="20"/>
              </w:rPr>
              <w:t>de Minister/</w:t>
            </w:r>
            <w:proofErr w:type="spellStart"/>
            <w:r w:rsidR="00AF228B" w:rsidRPr="00786F79">
              <w:rPr>
                <w:rFonts w:cs="Arial"/>
                <w:sz w:val="20"/>
                <w:szCs w:val="20"/>
              </w:rPr>
              <w:t>SodM</w:t>
            </w:r>
            <w:proofErr w:type="spellEnd"/>
            <w:r w:rsidR="00AF228B" w:rsidRPr="00786F79">
              <w:rPr>
                <w:rFonts w:cs="Arial"/>
                <w:sz w:val="20"/>
                <w:szCs w:val="20"/>
              </w:rPr>
              <w:t xml:space="preserve"> te vragen dit project opnieuw te beoordelen? Zo nee, waarom niet</w:t>
            </w:r>
            <w:r w:rsidR="00007EF3" w:rsidRPr="00786F79">
              <w:rPr>
                <w:rFonts w:cs="Arial"/>
                <w:sz w:val="20"/>
                <w:szCs w:val="20"/>
              </w:rPr>
              <w:t>?</w:t>
            </w:r>
          </w:p>
          <w:p w14:paraId="4F191EFD" w14:textId="3198EB03" w:rsidR="00AF228B" w:rsidRPr="00786F79" w:rsidRDefault="003F2721" w:rsidP="00007EF3">
            <w:pPr>
              <w:spacing w:before="100" w:beforeAutospacing="1" w:after="100" w:afterAutospacing="1"/>
              <w:ind w:left="720" w:hanging="360"/>
              <w:rPr>
                <w:rFonts w:cs="Arial"/>
                <w:sz w:val="20"/>
                <w:szCs w:val="20"/>
              </w:rPr>
            </w:pPr>
            <w:r w:rsidRPr="00786F79">
              <w:rPr>
                <w:rFonts w:cs="Arial"/>
                <w:sz w:val="20"/>
                <w:szCs w:val="20"/>
              </w:rPr>
              <w:t>3.</w:t>
            </w:r>
            <w:r w:rsidR="00007EF3" w:rsidRPr="00786F79">
              <w:rPr>
                <w:rFonts w:cs="Arial"/>
                <w:sz w:val="20"/>
                <w:szCs w:val="20"/>
              </w:rPr>
              <w:t xml:space="preserve">   </w:t>
            </w:r>
            <w:r w:rsidR="00AF228B" w:rsidRPr="00786F79">
              <w:rPr>
                <w:rFonts w:cs="Arial"/>
                <w:sz w:val="20"/>
                <w:szCs w:val="20"/>
              </w:rPr>
              <w:t xml:space="preserve">Er zijn vragen gerezen over de onafhankelijkheid van de monitoring door </w:t>
            </w:r>
            <w:proofErr w:type="spellStart"/>
            <w:r w:rsidR="00AF228B" w:rsidRPr="00786F79">
              <w:rPr>
                <w:rFonts w:cs="Arial"/>
                <w:sz w:val="20"/>
                <w:szCs w:val="20"/>
              </w:rPr>
              <w:t>Frisia</w:t>
            </w:r>
            <w:proofErr w:type="spellEnd"/>
            <w:r w:rsidR="00AF228B" w:rsidRPr="00786F79">
              <w:rPr>
                <w:rFonts w:cs="Arial"/>
                <w:sz w:val="20"/>
                <w:szCs w:val="20"/>
              </w:rPr>
              <w:t xml:space="preserve"> zelf. Een onjuiste monitoring zou voor onherstelbare schade kunnen zorgen. Welke maatregelen neemt u om dit te voorkomen?</w:t>
            </w:r>
          </w:p>
          <w:p w14:paraId="45031A71" w14:textId="527C9154" w:rsidR="00D46F89" w:rsidRPr="00786F79" w:rsidRDefault="005F2AA8" w:rsidP="00D46F89">
            <w:pPr>
              <w:spacing w:before="100" w:beforeAutospacing="1" w:after="100" w:afterAutospacing="1"/>
              <w:ind w:left="720" w:hanging="360"/>
              <w:rPr>
                <w:rFonts w:cs="Arial"/>
                <w:sz w:val="20"/>
                <w:szCs w:val="20"/>
              </w:rPr>
            </w:pPr>
            <w:r w:rsidRPr="00786F79">
              <w:rPr>
                <w:rFonts w:cs="Arial"/>
                <w:sz w:val="20"/>
                <w:szCs w:val="20"/>
              </w:rPr>
              <w:t>4.</w:t>
            </w:r>
            <w:r w:rsidR="00D46F89" w:rsidRPr="00786F79">
              <w:rPr>
                <w:rFonts w:cs="Arial"/>
                <w:sz w:val="20"/>
                <w:szCs w:val="20"/>
              </w:rPr>
              <w:t xml:space="preserve">.   </w:t>
            </w:r>
            <w:r w:rsidR="00AF228B" w:rsidRPr="00786F79">
              <w:rPr>
                <w:rFonts w:cs="Arial"/>
                <w:sz w:val="20"/>
                <w:szCs w:val="20"/>
              </w:rPr>
              <w:t xml:space="preserve">Zowel </w:t>
            </w:r>
            <w:proofErr w:type="spellStart"/>
            <w:r w:rsidR="00AF228B" w:rsidRPr="00786F79">
              <w:rPr>
                <w:rFonts w:cs="Arial"/>
                <w:sz w:val="20"/>
                <w:szCs w:val="20"/>
              </w:rPr>
              <w:t>Frisia</w:t>
            </w:r>
            <w:proofErr w:type="spellEnd"/>
            <w:r w:rsidR="00AF228B" w:rsidRPr="00786F79">
              <w:rPr>
                <w:rFonts w:cs="Arial"/>
                <w:sz w:val="20"/>
                <w:szCs w:val="20"/>
              </w:rPr>
              <w:t xml:space="preserve"> BV als de Waddenvereniging zijn voorstander van een Waddenautoriteit omdat die wel voor een totaalmonitoring kan zorgen. Hoe staat u hier tegenover en welke stappen bent u bereid te nemen om een dergelijke autoriteit te vormen?</w:t>
            </w:r>
            <w:r w:rsidR="00D46F89" w:rsidRPr="00786F79">
              <w:rPr>
                <w:rFonts w:cs="Arial"/>
                <w:sz w:val="20"/>
                <w:szCs w:val="20"/>
              </w:rPr>
              <w:t xml:space="preserve"> </w:t>
            </w:r>
          </w:p>
          <w:p w14:paraId="71C94783" w14:textId="0FE0290C" w:rsidR="00D46F89" w:rsidRPr="00786F79" w:rsidRDefault="005F2AA8" w:rsidP="00D46F89">
            <w:pPr>
              <w:spacing w:before="100" w:beforeAutospacing="1" w:after="100" w:afterAutospacing="1"/>
              <w:ind w:left="720" w:hanging="360"/>
              <w:rPr>
                <w:rFonts w:cs="Arial"/>
                <w:sz w:val="20"/>
                <w:szCs w:val="20"/>
              </w:rPr>
            </w:pPr>
            <w:r w:rsidRPr="00786F79">
              <w:rPr>
                <w:rFonts w:cs="Arial"/>
                <w:sz w:val="20"/>
                <w:szCs w:val="20"/>
              </w:rPr>
              <w:t>5.</w:t>
            </w:r>
            <w:r w:rsidR="00D46F89" w:rsidRPr="00786F79">
              <w:rPr>
                <w:rFonts w:cs="Arial"/>
                <w:sz w:val="20"/>
                <w:szCs w:val="20"/>
              </w:rPr>
              <w:t xml:space="preserve">   Tenslotte: Uit het IPCC rapport dat eind september werd gepresenteerd blijkt dat de zeespiegelstijging harder gaat dan verwacht. Hieruit </w:t>
            </w:r>
            <w:r w:rsidR="00652F35" w:rsidRPr="00786F79">
              <w:rPr>
                <w:rFonts w:cs="Arial"/>
                <w:sz w:val="20"/>
                <w:szCs w:val="20"/>
              </w:rPr>
              <w:t xml:space="preserve">volgt </w:t>
            </w:r>
            <w:r w:rsidR="00D46F89" w:rsidRPr="00786F79">
              <w:rPr>
                <w:rFonts w:cs="Arial"/>
                <w:sz w:val="20"/>
                <w:szCs w:val="20"/>
              </w:rPr>
              <w:t>ook dat het scenario, waar de Minister op dit moment van uitgaat, al achterhaald is. Daarnaast is te lezen in het rapport van de Deltacommissaris</w:t>
            </w:r>
            <w:r w:rsidR="00D46F89" w:rsidRPr="00786F79">
              <w:rPr>
                <w:rStyle w:val="Voetnootmarkering"/>
                <w:rFonts w:cs="Arial"/>
                <w:sz w:val="20"/>
                <w:szCs w:val="20"/>
              </w:rPr>
              <w:footnoteReference w:id="5"/>
            </w:r>
            <w:r w:rsidR="00D46F89" w:rsidRPr="00786F79">
              <w:rPr>
                <w:rFonts w:cs="Arial"/>
                <w:sz w:val="20"/>
                <w:szCs w:val="20"/>
              </w:rPr>
              <w:t xml:space="preserve"> (bijlage B, </w:t>
            </w:r>
            <w:r w:rsidR="00D46F89" w:rsidRPr="00786F79">
              <w:rPr>
                <w:rFonts w:cs="Arial"/>
                <w:sz w:val="20"/>
                <w:szCs w:val="20"/>
              </w:rPr>
              <w:lastRenderedPageBreak/>
              <w:t xml:space="preserve">programma 2019) dat de Westelijke Waddenzee geen ruimte meer heeft voor bodemdaling wat betreft de verwachte zeespiegelstijging. </w:t>
            </w:r>
          </w:p>
          <w:p w14:paraId="51B31F43" w14:textId="34FEC603" w:rsidR="00AF228B" w:rsidRPr="00786F79" w:rsidRDefault="00D46F89" w:rsidP="00786F79">
            <w:pPr>
              <w:spacing w:before="100" w:beforeAutospacing="1" w:after="100" w:afterAutospacing="1"/>
              <w:ind w:left="720" w:hanging="360"/>
              <w:rPr>
                <w:rFonts w:cs="Arial"/>
                <w:sz w:val="20"/>
                <w:szCs w:val="20"/>
              </w:rPr>
            </w:pPr>
            <w:r w:rsidRPr="00786F79">
              <w:rPr>
                <w:rFonts w:cs="Arial"/>
                <w:sz w:val="20"/>
                <w:szCs w:val="20"/>
              </w:rPr>
              <w:t xml:space="preserve">       De Minister (van LNV) heeft volgens artikel 5.4 lid 1 sub d van de Wet Natuurbescherming</w:t>
            </w:r>
            <w:r w:rsidRPr="00786F79">
              <w:rPr>
                <w:rStyle w:val="Voetnootmarkering"/>
                <w:rFonts w:cs="Arial"/>
                <w:sz w:val="20"/>
                <w:szCs w:val="20"/>
              </w:rPr>
              <w:footnoteReference w:id="6"/>
            </w:r>
            <w:r w:rsidRPr="00786F79">
              <w:rPr>
                <w:rFonts w:cs="Arial"/>
                <w:sz w:val="20"/>
                <w:szCs w:val="20"/>
              </w:rPr>
              <w:t xml:space="preserve"> het recht de verleende natuurbeschermingswetvergunning voor de zoutwinning weer in te trekken</w:t>
            </w:r>
            <w:r w:rsidR="000B3BD6" w:rsidRPr="00786F79">
              <w:rPr>
                <w:rFonts w:cs="Arial"/>
                <w:sz w:val="20"/>
                <w:szCs w:val="20"/>
              </w:rPr>
              <w:t xml:space="preserve"> of te wijzigen wegens gewijzigde omstandigheden.</w:t>
            </w:r>
            <w:r w:rsidRPr="00786F79">
              <w:rPr>
                <w:rFonts w:cs="Arial"/>
                <w:sz w:val="20"/>
                <w:szCs w:val="20"/>
              </w:rPr>
              <w:t xml:space="preserve"> Bent u bereid om op grond van de genoemde incidenten en twijfel over de risico’s bij de zoutwinning én de nieuwe ontwikkelingen rond de zeespiegelstijging bij de Minister te pleiten voor het intrekken </w:t>
            </w:r>
            <w:r w:rsidR="000B3BD6" w:rsidRPr="00786F79">
              <w:rPr>
                <w:rFonts w:cs="Arial"/>
                <w:sz w:val="20"/>
                <w:szCs w:val="20"/>
              </w:rPr>
              <w:t xml:space="preserve">of wijzigen </w:t>
            </w:r>
            <w:r w:rsidRPr="00786F79">
              <w:rPr>
                <w:rFonts w:cs="Arial"/>
                <w:sz w:val="20"/>
                <w:szCs w:val="20"/>
              </w:rPr>
              <w:t xml:space="preserve">van de Wet NB-vergunning? </w:t>
            </w:r>
          </w:p>
          <w:p w14:paraId="5602407F" w14:textId="7DE4E85C" w:rsidR="00AF228B" w:rsidRPr="00786F79" w:rsidRDefault="00AF228B" w:rsidP="00AF228B">
            <w:pPr>
              <w:spacing w:before="100" w:beforeAutospacing="1" w:after="100" w:afterAutospacing="1"/>
              <w:ind w:left="720" w:hanging="360"/>
              <w:rPr>
                <w:rFonts w:cs="Arial"/>
                <w:sz w:val="20"/>
                <w:szCs w:val="20"/>
              </w:rPr>
            </w:pPr>
          </w:p>
        </w:tc>
      </w:tr>
      <w:tr w:rsidR="00007EF3" w:rsidRPr="00AF228B" w14:paraId="5923DEDD" w14:textId="77777777" w:rsidTr="00AF228B">
        <w:tc>
          <w:tcPr>
            <w:tcW w:w="1384" w:type="dxa"/>
            <w:shd w:val="clear" w:color="auto" w:fill="auto"/>
          </w:tcPr>
          <w:p w14:paraId="62605D63" w14:textId="77777777" w:rsidR="00007EF3" w:rsidRPr="00AF228B" w:rsidRDefault="00007EF3">
            <w:pPr>
              <w:rPr>
                <w:rFonts w:cs="Arial"/>
                <w:sz w:val="20"/>
                <w:szCs w:val="20"/>
              </w:rPr>
            </w:pPr>
          </w:p>
        </w:tc>
        <w:tc>
          <w:tcPr>
            <w:tcW w:w="7828" w:type="dxa"/>
            <w:shd w:val="clear" w:color="auto" w:fill="auto"/>
          </w:tcPr>
          <w:p w14:paraId="25EB90EF" w14:textId="77777777" w:rsidR="00007EF3" w:rsidRPr="00AF228B" w:rsidRDefault="00007EF3" w:rsidP="00AF228B">
            <w:pPr>
              <w:spacing w:before="100" w:beforeAutospacing="1" w:after="100" w:afterAutospacing="1"/>
              <w:ind w:left="720" w:hanging="360"/>
              <w:rPr>
                <w:rFonts w:cs="Arial"/>
                <w:sz w:val="20"/>
                <w:szCs w:val="20"/>
              </w:rPr>
            </w:pPr>
          </w:p>
        </w:tc>
      </w:tr>
    </w:tbl>
    <w:p w14:paraId="56024082" w14:textId="77777777" w:rsidR="00111FB0" w:rsidRPr="00AF228B" w:rsidRDefault="00111FB0">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7683"/>
      </w:tblGrid>
      <w:tr w:rsidR="00111FB0" w:rsidRPr="00AF228B" w14:paraId="56024087" w14:textId="77777777" w:rsidTr="00AF228B">
        <w:tc>
          <w:tcPr>
            <w:tcW w:w="1384" w:type="dxa"/>
            <w:shd w:val="clear" w:color="auto" w:fill="auto"/>
          </w:tcPr>
          <w:p w14:paraId="56024083" w14:textId="77777777" w:rsidR="00111FB0" w:rsidRPr="00AF228B" w:rsidRDefault="00111FB0">
            <w:pPr>
              <w:rPr>
                <w:rFonts w:cs="Arial"/>
                <w:sz w:val="20"/>
                <w:szCs w:val="20"/>
              </w:rPr>
            </w:pPr>
            <w:r w:rsidRPr="00AF228B">
              <w:rPr>
                <w:rFonts w:cs="Arial"/>
                <w:sz w:val="20"/>
                <w:szCs w:val="20"/>
              </w:rPr>
              <w:t>Indiener(s)</w:t>
            </w:r>
          </w:p>
        </w:tc>
        <w:tc>
          <w:tcPr>
            <w:tcW w:w="7828" w:type="dxa"/>
            <w:shd w:val="clear" w:color="auto" w:fill="auto"/>
          </w:tcPr>
          <w:p w14:paraId="56024085" w14:textId="59E1C9F2" w:rsidR="00111FB0" w:rsidRDefault="00AF228B">
            <w:pPr>
              <w:rPr>
                <w:rFonts w:cs="Arial"/>
                <w:sz w:val="20"/>
                <w:szCs w:val="20"/>
              </w:rPr>
            </w:pPr>
            <w:r w:rsidRPr="00AF228B">
              <w:rPr>
                <w:rFonts w:cs="Arial"/>
                <w:sz w:val="20"/>
                <w:szCs w:val="20"/>
              </w:rPr>
              <w:t>PvdD, Rinie van der Zanden</w:t>
            </w:r>
          </w:p>
          <w:p w14:paraId="460D2E97" w14:textId="379ACE60" w:rsidR="00D46F89" w:rsidRDefault="00D46F89">
            <w:pPr>
              <w:rPr>
                <w:rFonts w:cs="Arial"/>
                <w:sz w:val="20"/>
                <w:szCs w:val="20"/>
              </w:rPr>
            </w:pPr>
            <w:r w:rsidRPr="00786F79">
              <w:rPr>
                <w:rFonts w:cs="Arial"/>
                <w:sz w:val="20"/>
                <w:szCs w:val="20"/>
              </w:rPr>
              <w:t>GrienLinks</w:t>
            </w:r>
            <w:r w:rsidR="005F2AA8">
              <w:rPr>
                <w:rFonts w:cs="Arial"/>
                <w:sz w:val="20"/>
                <w:szCs w:val="20"/>
              </w:rPr>
              <w:t>,</w:t>
            </w:r>
            <w:r w:rsidRPr="00786F79">
              <w:rPr>
                <w:rFonts w:cs="Arial"/>
                <w:sz w:val="20"/>
                <w:szCs w:val="20"/>
              </w:rPr>
              <w:t xml:space="preserve"> Jochem Knol</w:t>
            </w:r>
          </w:p>
          <w:p w14:paraId="48EC1869" w14:textId="2019AC9A" w:rsidR="005F2AA8" w:rsidRPr="00786F79" w:rsidRDefault="005F2AA8">
            <w:pPr>
              <w:rPr>
                <w:rFonts w:cs="Arial"/>
                <w:sz w:val="20"/>
                <w:szCs w:val="20"/>
              </w:rPr>
            </w:pPr>
            <w:r>
              <w:rPr>
                <w:rFonts w:cs="Arial"/>
                <w:sz w:val="20"/>
                <w:szCs w:val="20"/>
              </w:rPr>
              <w:t>SP, Hanneke Goede</w:t>
            </w:r>
          </w:p>
          <w:p w14:paraId="56024086" w14:textId="0B31160F" w:rsidR="00111FB0" w:rsidRPr="00AF228B" w:rsidRDefault="00111FB0">
            <w:pPr>
              <w:rPr>
                <w:rFonts w:cs="Arial"/>
                <w:sz w:val="20"/>
                <w:szCs w:val="20"/>
              </w:rPr>
            </w:pPr>
          </w:p>
        </w:tc>
      </w:tr>
    </w:tbl>
    <w:p w14:paraId="56024089" w14:textId="77777777" w:rsidR="00111FB0" w:rsidRPr="00AF228B" w:rsidRDefault="00111FB0">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7690"/>
      </w:tblGrid>
      <w:tr w:rsidR="00111FB0" w:rsidRPr="00AF228B" w14:paraId="5602408C" w14:textId="77777777" w:rsidTr="00AF228B">
        <w:tc>
          <w:tcPr>
            <w:tcW w:w="1384" w:type="dxa"/>
            <w:shd w:val="clear" w:color="auto" w:fill="auto"/>
          </w:tcPr>
          <w:p w14:paraId="5602408A" w14:textId="77777777" w:rsidR="00111FB0" w:rsidRPr="00AF228B" w:rsidRDefault="00111FB0">
            <w:pPr>
              <w:rPr>
                <w:rFonts w:cs="Arial"/>
                <w:sz w:val="20"/>
                <w:szCs w:val="20"/>
              </w:rPr>
            </w:pPr>
            <w:r w:rsidRPr="00AF228B">
              <w:rPr>
                <w:rFonts w:cs="Arial"/>
                <w:sz w:val="20"/>
                <w:szCs w:val="20"/>
              </w:rPr>
              <w:t>Datum</w:t>
            </w:r>
          </w:p>
        </w:tc>
        <w:tc>
          <w:tcPr>
            <w:tcW w:w="7828" w:type="dxa"/>
            <w:shd w:val="clear" w:color="auto" w:fill="auto"/>
          </w:tcPr>
          <w:p w14:paraId="288DF42E" w14:textId="2CFF208E" w:rsidR="00111FB0" w:rsidRPr="00786F79" w:rsidRDefault="00AF228B">
            <w:pPr>
              <w:rPr>
                <w:rFonts w:cs="Arial"/>
                <w:sz w:val="20"/>
                <w:szCs w:val="20"/>
              </w:rPr>
            </w:pPr>
            <w:r w:rsidRPr="00786F79">
              <w:rPr>
                <w:rFonts w:cs="Arial"/>
                <w:sz w:val="20"/>
                <w:szCs w:val="20"/>
              </w:rPr>
              <w:t>1</w:t>
            </w:r>
            <w:r w:rsidR="005F2AA8">
              <w:rPr>
                <w:rFonts w:cs="Arial"/>
                <w:sz w:val="20"/>
                <w:szCs w:val="20"/>
              </w:rPr>
              <w:t>4</w:t>
            </w:r>
            <w:r w:rsidRPr="00786F79">
              <w:rPr>
                <w:rFonts w:cs="Arial"/>
                <w:sz w:val="20"/>
                <w:szCs w:val="20"/>
              </w:rPr>
              <w:t xml:space="preserve"> november 2019</w:t>
            </w:r>
          </w:p>
          <w:p w14:paraId="5602408B" w14:textId="390C510B" w:rsidR="00207C0B" w:rsidRPr="00AF228B" w:rsidRDefault="00207C0B">
            <w:pPr>
              <w:rPr>
                <w:rFonts w:cs="Arial"/>
                <w:sz w:val="20"/>
                <w:szCs w:val="20"/>
              </w:rPr>
            </w:pPr>
          </w:p>
        </w:tc>
      </w:tr>
    </w:tbl>
    <w:p w14:paraId="5602408D" w14:textId="77777777" w:rsidR="00111FB0" w:rsidRPr="00AF228B" w:rsidRDefault="00111FB0">
      <w:pPr>
        <w:rPr>
          <w:rFonts w:cs="Arial"/>
          <w:sz w:val="20"/>
          <w:szCs w:val="20"/>
        </w:rPr>
      </w:pPr>
    </w:p>
    <w:sectPr w:rsidR="00111FB0" w:rsidRPr="00AF228B" w:rsidSect="00AA4D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70F8" w14:textId="77777777" w:rsidR="0046233C" w:rsidRDefault="0046233C" w:rsidP="00AF228B">
      <w:r>
        <w:separator/>
      </w:r>
    </w:p>
  </w:endnote>
  <w:endnote w:type="continuationSeparator" w:id="0">
    <w:p w14:paraId="5838F0E2" w14:textId="77777777" w:rsidR="0046233C" w:rsidRDefault="0046233C" w:rsidP="00AF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8382" w14:textId="77777777" w:rsidR="0046233C" w:rsidRDefault="0046233C" w:rsidP="00AF228B">
      <w:r>
        <w:separator/>
      </w:r>
    </w:p>
  </w:footnote>
  <w:footnote w:type="continuationSeparator" w:id="0">
    <w:p w14:paraId="69C88EFB" w14:textId="77777777" w:rsidR="0046233C" w:rsidRDefault="0046233C" w:rsidP="00AF228B">
      <w:r>
        <w:continuationSeparator/>
      </w:r>
    </w:p>
  </w:footnote>
  <w:footnote w:id="1">
    <w:p w14:paraId="5C0006A8" w14:textId="26E6809A" w:rsidR="00AF228B" w:rsidRDefault="00AF228B">
      <w:pPr>
        <w:pStyle w:val="Voetnoottekst"/>
      </w:pPr>
      <w:r>
        <w:rPr>
          <w:rStyle w:val="Voetnootmarkering"/>
        </w:rPr>
        <w:footnoteRef/>
      </w:r>
      <w:r>
        <w:t xml:space="preserve"> </w:t>
      </w:r>
      <w:hyperlink r:id="rId1" w:tgtFrame="_blank" w:history="1">
        <w:r w:rsidRPr="00AF228B">
          <w:rPr>
            <w:rStyle w:val="Hyperlink"/>
            <w:rFonts w:cs="Arial"/>
          </w:rPr>
          <w:t>https://www.omropfryslan.nl/nijs/914875-achtergrun-saltwinning-wol-skea-net-folle-baten</w:t>
        </w:r>
      </w:hyperlink>
    </w:p>
  </w:footnote>
  <w:footnote w:id="2">
    <w:p w14:paraId="5A864FCB" w14:textId="6520285A" w:rsidR="00A31580" w:rsidRDefault="00A31580">
      <w:pPr>
        <w:pStyle w:val="Voetnoottekst"/>
      </w:pPr>
      <w:r>
        <w:rPr>
          <w:rStyle w:val="Voetnootmarkering"/>
        </w:rPr>
        <w:footnoteRef/>
      </w:r>
      <w:r>
        <w:t xml:space="preserve"> </w:t>
      </w:r>
      <w:hyperlink r:id="rId2" w:history="1">
        <w:r w:rsidRPr="00083A48">
          <w:rPr>
            <w:rStyle w:val="Hyperlink"/>
          </w:rPr>
          <w:t>https://www.sodm.nl/documenten/rapporten/2018/05/31/staat-van-de-sector-zout</w:t>
        </w:r>
      </w:hyperlink>
      <w:r>
        <w:t xml:space="preserve"> </w:t>
      </w:r>
    </w:p>
  </w:footnote>
  <w:footnote w:id="3">
    <w:p w14:paraId="613A7B7E" w14:textId="4870154B" w:rsidR="00AF228B" w:rsidRDefault="00AF228B">
      <w:pPr>
        <w:pStyle w:val="Voetnoottekst"/>
      </w:pPr>
      <w:r>
        <w:rPr>
          <w:rStyle w:val="Voetnootmarkering"/>
        </w:rPr>
        <w:footnoteRef/>
      </w:r>
      <w:r>
        <w:t xml:space="preserve"> </w:t>
      </w:r>
      <w:hyperlink r:id="rId3" w:tgtFrame="_blank" w:history="1">
        <w:r w:rsidRPr="00AF228B">
          <w:rPr>
            <w:rStyle w:val="Hyperlink"/>
            <w:rFonts w:cs="Arial"/>
          </w:rPr>
          <w:t>https://www.omropfryslan.nl/nieuws/915853-zoutwinning-de-gaten-houden-alsof-de-slager-zijn-eigen-vlees-keurt</w:t>
        </w:r>
      </w:hyperlink>
    </w:p>
  </w:footnote>
  <w:footnote w:id="4">
    <w:p w14:paraId="0D781B28" w14:textId="77777777" w:rsidR="007A085A" w:rsidRDefault="007A085A" w:rsidP="007A085A">
      <w:pPr>
        <w:pStyle w:val="Voetnoottekst"/>
      </w:pPr>
      <w:r>
        <w:rPr>
          <w:rStyle w:val="Voetnootmarkering"/>
        </w:rPr>
        <w:footnoteRef/>
      </w:r>
      <w:r>
        <w:t xml:space="preserve"> </w:t>
      </w:r>
      <w:hyperlink r:id="rId4" w:history="1">
        <w:r w:rsidRPr="00083A48">
          <w:rPr>
            <w:rStyle w:val="Hyperlink"/>
          </w:rPr>
          <w:t>https://www.knmi.nl/over-het-knmi/nieuws/ipcc-zee-stijgt-sneller-door-smeltende-gletsjers-en-poolijs</w:t>
        </w:r>
      </w:hyperlink>
      <w:r>
        <w:t xml:space="preserve"> </w:t>
      </w:r>
    </w:p>
  </w:footnote>
  <w:footnote w:id="5">
    <w:p w14:paraId="0502CCE4" w14:textId="77777777" w:rsidR="00D46F89" w:rsidRDefault="00D46F89" w:rsidP="00D46F89">
      <w:pPr>
        <w:pStyle w:val="Voetnoottekst"/>
      </w:pPr>
      <w:r>
        <w:rPr>
          <w:rStyle w:val="Voetnootmarkering"/>
        </w:rPr>
        <w:footnoteRef/>
      </w:r>
      <w:r>
        <w:t xml:space="preserve"> </w:t>
      </w:r>
      <w:hyperlink r:id="rId5" w:history="1">
        <w:r w:rsidRPr="00083A48">
          <w:rPr>
            <w:rStyle w:val="Hyperlink"/>
          </w:rPr>
          <w:t>https://www.deltacommissaris.nl/documenten/publicaties/2018/09/18/dp2019-b-rapport-deltares</w:t>
        </w:r>
      </w:hyperlink>
      <w:r>
        <w:t xml:space="preserve"> </w:t>
      </w:r>
    </w:p>
  </w:footnote>
  <w:footnote w:id="6">
    <w:p w14:paraId="577AF2A9" w14:textId="77777777" w:rsidR="00D46F89" w:rsidRDefault="00D46F89" w:rsidP="00D46F89">
      <w:pPr>
        <w:pStyle w:val="Voetnoottekst"/>
      </w:pPr>
      <w:r>
        <w:rPr>
          <w:rStyle w:val="Voetnootmarkering"/>
        </w:rPr>
        <w:footnoteRef/>
      </w:r>
      <w:r>
        <w:t xml:space="preserve"> Wnb artikel 5.4 lid 1 sub ‘</w:t>
      </w:r>
      <w:hyperlink r:id="rId6" w:history="1">
        <w:r>
          <w:rPr>
            <w:rFonts w:cs="Arial"/>
            <w:b/>
            <w:bCs/>
            <w:color w:val="000000"/>
            <w:sz w:val="18"/>
            <w:szCs w:val="18"/>
            <w:lang w:val="en"/>
          </w:rPr>
          <w:t>d.</w:t>
        </w:r>
      </w:hyperlink>
      <w:r>
        <w:rPr>
          <w:rFonts w:cs="Arial"/>
          <w:sz w:val="18"/>
          <w:szCs w:val="18"/>
          <w:lang w:val="en"/>
        </w:rPr>
        <w:t xml:space="preserve"> de omstandigheden sedert het tijdstip waarop de vergunning, onderscheidenlijk ontheffing is verleend zodanig zijn gewijzigd, dat deze niet, niet zonder beperkingen of voorwaarden, of onder andere beperkingen of voorwaarden zou zijn verleend, indien deze omstandigheden op het tijdstip waarop de vergunning, onderscheidenlijk ontheffing is verleend zouden hebben bestaan.’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5"/>
    <w:rsid w:val="00003B0D"/>
    <w:rsid w:val="00006995"/>
    <w:rsid w:val="00007EF3"/>
    <w:rsid w:val="0002785A"/>
    <w:rsid w:val="00057BBD"/>
    <w:rsid w:val="0007016A"/>
    <w:rsid w:val="00083854"/>
    <w:rsid w:val="00096414"/>
    <w:rsid w:val="000A05E8"/>
    <w:rsid w:val="000A3E43"/>
    <w:rsid w:val="000B1EA4"/>
    <w:rsid w:val="000B3BD6"/>
    <w:rsid w:val="000B7176"/>
    <w:rsid w:val="000C2339"/>
    <w:rsid w:val="00111FB0"/>
    <w:rsid w:val="0011371B"/>
    <w:rsid w:val="00115CAC"/>
    <w:rsid w:val="00116D45"/>
    <w:rsid w:val="0012361C"/>
    <w:rsid w:val="001273C9"/>
    <w:rsid w:val="0014683C"/>
    <w:rsid w:val="00147720"/>
    <w:rsid w:val="0015227F"/>
    <w:rsid w:val="00164B9B"/>
    <w:rsid w:val="00185772"/>
    <w:rsid w:val="001872C4"/>
    <w:rsid w:val="00192CB7"/>
    <w:rsid w:val="00195197"/>
    <w:rsid w:val="001A10EE"/>
    <w:rsid w:val="001A241F"/>
    <w:rsid w:val="001A54CF"/>
    <w:rsid w:val="001B5584"/>
    <w:rsid w:val="001D5101"/>
    <w:rsid w:val="001E73B5"/>
    <w:rsid w:val="00202B83"/>
    <w:rsid w:val="00207C0B"/>
    <w:rsid w:val="00211109"/>
    <w:rsid w:val="002232E8"/>
    <w:rsid w:val="00223CF2"/>
    <w:rsid w:val="002342A0"/>
    <w:rsid w:val="00240B9A"/>
    <w:rsid w:val="00253192"/>
    <w:rsid w:val="00256C8D"/>
    <w:rsid w:val="00264D33"/>
    <w:rsid w:val="00264E1D"/>
    <w:rsid w:val="00265317"/>
    <w:rsid w:val="00265B99"/>
    <w:rsid w:val="002678CB"/>
    <w:rsid w:val="002815E8"/>
    <w:rsid w:val="002839F5"/>
    <w:rsid w:val="002853CE"/>
    <w:rsid w:val="002A6786"/>
    <w:rsid w:val="002C3D66"/>
    <w:rsid w:val="002C51C2"/>
    <w:rsid w:val="002D6C6A"/>
    <w:rsid w:val="002E543B"/>
    <w:rsid w:val="00310D9C"/>
    <w:rsid w:val="00314021"/>
    <w:rsid w:val="00366CEF"/>
    <w:rsid w:val="003770CD"/>
    <w:rsid w:val="003842F3"/>
    <w:rsid w:val="003879D9"/>
    <w:rsid w:val="003B0A10"/>
    <w:rsid w:val="003C34B9"/>
    <w:rsid w:val="003D1963"/>
    <w:rsid w:val="003D2545"/>
    <w:rsid w:val="003E791B"/>
    <w:rsid w:val="003F2721"/>
    <w:rsid w:val="00402DFA"/>
    <w:rsid w:val="00424469"/>
    <w:rsid w:val="004264A8"/>
    <w:rsid w:val="00431144"/>
    <w:rsid w:val="00431D9D"/>
    <w:rsid w:val="00454F4B"/>
    <w:rsid w:val="0046233C"/>
    <w:rsid w:val="00467E94"/>
    <w:rsid w:val="0047244A"/>
    <w:rsid w:val="00473244"/>
    <w:rsid w:val="00483FD7"/>
    <w:rsid w:val="0049235D"/>
    <w:rsid w:val="004A3C85"/>
    <w:rsid w:val="004C1DE2"/>
    <w:rsid w:val="004C4696"/>
    <w:rsid w:val="004E7C38"/>
    <w:rsid w:val="00502296"/>
    <w:rsid w:val="00502991"/>
    <w:rsid w:val="00527803"/>
    <w:rsid w:val="00530123"/>
    <w:rsid w:val="00531335"/>
    <w:rsid w:val="005324DA"/>
    <w:rsid w:val="005330DB"/>
    <w:rsid w:val="005372BA"/>
    <w:rsid w:val="00560455"/>
    <w:rsid w:val="00581210"/>
    <w:rsid w:val="0058237E"/>
    <w:rsid w:val="005C329E"/>
    <w:rsid w:val="005D53DD"/>
    <w:rsid w:val="005E060A"/>
    <w:rsid w:val="005E1B14"/>
    <w:rsid w:val="005E1D9A"/>
    <w:rsid w:val="005F2AA8"/>
    <w:rsid w:val="006053EC"/>
    <w:rsid w:val="0061184E"/>
    <w:rsid w:val="0062204B"/>
    <w:rsid w:val="00631C10"/>
    <w:rsid w:val="00634F7A"/>
    <w:rsid w:val="00641298"/>
    <w:rsid w:val="0064613F"/>
    <w:rsid w:val="00647573"/>
    <w:rsid w:val="00647B6D"/>
    <w:rsid w:val="00652F35"/>
    <w:rsid w:val="006619DA"/>
    <w:rsid w:val="00663509"/>
    <w:rsid w:val="00663908"/>
    <w:rsid w:val="0067202E"/>
    <w:rsid w:val="006A5197"/>
    <w:rsid w:val="006B5265"/>
    <w:rsid w:val="006B7ED1"/>
    <w:rsid w:val="006C35FA"/>
    <w:rsid w:val="006E5092"/>
    <w:rsid w:val="006F4A6E"/>
    <w:rsid w:val="00705B26"/>
    <w:rsid w:val="00715B5B"/>
    <w:rsid w:val="007166C4"/>
    <w:rsid w:val="00724453"/>
    <w:rsid w:val="007471C3"/>
    <w:rsid w:val="0075736F"/>
    <w:rsid w:val="00761292"/>
    <w:rsid w:val="00786F79"/>
    <w:rsid w:val="00794D85"/>
    <w:rsid w:val="007A085A"/>
    <w:rsid w:val="007C75AA"/>
    <w:rsid w:val="007E425E"/>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3060"/>
    <w:rsid w:val="008F628E"/>
    <w:rsid w:val="009058C0"/>
    <w:rsid w:val="0092502B"/>
    <w:rsid w:val="009368F8"/>
    <w:rsid w:val="00944A35"/>
    <w:rsid w:val="009505B2"/>
    <w:rsid w:val="0096096A"/>
    <w:rsid w:val="00966EBE"/>
    <w:rsid w:val="00973F81"/>
    <w:rsid w:val="00993AE4"/>
    <w:rsid w:val="009A0C61"/>
    <w:rsid w:val="009A74EE"/>
    <w:rsid w:val="009C36F1"/>
    <w:rsid w:val="009D167D"/>
    <w:rsid w:val="009D19E6"/>
    <w:rsid w:val="009D5144"/>
    <w:rsid w:val="009E08F7"/>
    <w:rsid w:val="00A03638"/>
    <w:rsid w:val="00A20AC5"/>
    <w:rsid w:val="00A22F2A"/>
    <w:rsid w:val="00A265CD"/>
    <w:rsid w:val="00A30D5F"/>
    <w:rsid w:val="00A31580"/>
    <w:rsid w:val="00A44ABA"/>
    <w:rsid w:val="00A750F3"/>
    <w:rsid w:val="00AA4DFD"/>
    <w:rsid w:val="00AD4F11"/>
    <w:rsid w:val="00AD5351"/>
    <w:rsid w:val="00AF228B"/>
    <w:rsid w:val="00B12874"/>
    <w:rsid w:val="00B25973"/>
    <w:rsid w:val="00B4597D"/>
    <w:rsid w:val="00B544C8"/>
    <w:rsid w:val="00B70ACD"/>
    <w:rsid w:val="00B71E3E"/>
    <w:rsid w:val="00B761C5"/>
    <w:rsid w:val="00B82526"/>
    <w:rsid w:val="00B82B67"/>
    <w:rsid w:val="00BA4986"/>
    <w:rsid w:val="00BB7062"/>
    <w:rsid w:val="00BC5F6D"/>
    <w:rsid w:val="00BE57CB"/>
    <w:rsid w:val="00BF3CAA"/>
    <w:rsid w:val="00BF6CF4"/>
    <w:rsid w:val="00C211D3"/>
    <w:rsid w:val="00C36FB8"/>
    <w:rsid w:val="00C533CE"/>
    <w:rsid w:val="00C57188"/>
    <w:rsid w:val="00C578DA"/>
    <w:rsid w:val="00C61567"/>
    <w:rsid w:val="00C705B0"/>
    <w:rsid w:val="00C74F03"/>
    <w:rsid w:val="00C814EF"/>
    <w:rsid w:val="00C84E7E"/>
    <w:rsid w:val="00C91151"/>
    <w:rsid w:val="00CB583C"/>
    <w:rsid w:val="00CB6AFB"/>
    <w:rsid w:val="00CC5AC1"/>
    <w:rsid w:val="00CC746B"/>
    <w:rsid w:val="00CD3568"/>
    <w:rsid w:val="00CD47F8"/>
    <w:rsid w:val="00CD5DC1"/>
    <w:rsid w:val="00CE1A9C"/>
    <w:rsid w:val="00CE1DFE"/>
    <w:rsid w:val="00CF3954"/>
    <w:rsid w:val="00D002DA"/>
    <w:rsid w:val="00D144E1"/>
    <w:rsid w:val="00D211A7"/>
    <w:rsid w:val="00D21DFC"/>
    <w:rsid w:val="00D354BF"/>
    <w:rsid w:val="00D46F89"/>
    <w:rsid w:val="00D635CC"/>
    <w:rsid w:val="00D6433A"/>
    <w:rsid w:val="00D654BF"/>
    <w:rsid w:val="00D71108"/>
    <w:rsid w:val="00D7250E"/>
    <w:rsid w:val="00D743DB"/>
    <w:rsid w:val="00D76269"/>
    <w:rsid w:val="00D8457D"/>
    <w:rsid w:val="00D91F4B"/>
    <w:rsid w:val="00D97EA8"/>
    <w:rsid w:val="00DA0F0D"/>
    <w:rsid w:val="00DA532E"/>
    <w:rsid w:val="00DB7B09"/>
    <w:rsid w:val="00DD6B8E"/>
    <w:rsid w:val="00DF601B"/>
    <w:rsid w:val="00E043A4"/>
    <w:rsid w:val="00E35024"/>
    <w:rsid w:val="00E35D5B"/>
    <w:rsid w:val="00E41C5E"/>
    <w:rsid w:val="00E44745"/>
    <w:rsid w:val="00E65456"/>
    <w:rsid w:val="00E6608D"/>
    <w:rsid w:val="00E847F9"/>
    <w:rsid w:val="00E8770F"/>
    <w:rsid w:val="00E93C1D"/>
    <w:rsid w:val="00E9436D"/>
    <w:rsid w:val="00EA3A7D"/>
    <w:rsid w:val="00EA57BC"/>
    <w:rsid w:val="00EA5A94"/>
    <w:rsid w:val="00ED398B"/>
    <w:rsid w:val="00ED7F98"/>
    <w:rsid w:val="00F11F97"/>
    <w:rsid w:val="00F144C8"/>
    <w:rsid w:val="00F3707F"/>
    <w:rsid w:val="00F37908"/>
    <w:rsid w:val="00F40EAA"/>
    <w:rsid w:val="00F71D60"/>
    <w:rsid w:val="00F81B8E"/>
    <w:rsid w:val="00F823D5"/>
    <w:rsid w:val="00FA0CE3"/>
    <w:rsid w:val="00FA1608"/>
    <w:rsid w:val="00FB6967"/>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2406D"/>
  <w15:docId w15:val="{C6AC7D1E-2E37-4B74-9660-78233930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4DFD"/>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32E8"/>
    <w:rPr>
      <w:rFonts w:ascii="Tahoma" w:hAnsi="Tahoma" w:cs="Tahoma"/>
      <w:sz w:val="16"/>
      <w:szCs w:val="16"/>
    </w:rPr>
  </w:style>
  <w:style w:type="character" w:customStyle="1" w:styleId="BallontekstChar">
    <w:name w:val="Ballontekst Char"/>
    <w:link w:val="Ballontekst"/>
    <w:uiPriority w:val="99"/>
    <w:semiHidden/>
    <w:rsid w:val="002232E8"/>
    <w:rPr>
      <w:rFonts w:ascii="Tahoma" w:hAnsi="Tahoma" w:cs="Tahoma"/>
      <w:sz w:val="16"/>
      <w:szCs w:val="16"/>
    </w:rPr>
  </w:style>
  <w:style w:type="paragraph" w:customStyle="1" w:styleId="Default">
    <w:name w:val="Default"/>
    <w:rsid w:val="00AD4F11"/>
    <w:pPr>
      <w:autoSpaceDE w:val="0"/>
      <w:autoSpaceDN w:val="0"/>
      <w:adjustRightInd w:val="0"/>
    </w:pPr>
    <w:rPr>
      <w:rFonts w:ascii="Arial" w:hAnsi="Arial" w:cs="Arial"/>
      <w:color w:val="000000"/>
      <w:sz w:val="24"/>
      <w:szCs w:val="24"/>
    </w:rPr>
  </w:style>
  <w:style w:type="character" w:styleId="Hyperlink">
    <w:name w:val="Hyperlink"/>
    <w:uiPriority w:val="99"/>
    <w:unhideWhenUsed/>
    <w:rsid w:val="00AF228B"/>
    <w:rPr>
      <w:color w:val="0000FF"/>
      <w:u w:val="single"/>
    </w:rPr>
  </w:style>
  <w:style w:type="paragraph" w:styleId="Voetnoottekst">
    <w:name w:val="footnote text"/>
    <w:basedOn w:val="Standaard"/>
    <w:link w:val="VoetnoottekstChar"/>
    <w:uiPriority w:val="99"/>
    <w:semiHidden/>
    <w:unhideWhenUsed/>
    <w:rsid w:val="00AF228B"/>
    <w:rPr>
      <w:sz w:val="20"/>
      <w:szCs w:val="20"/>
    </w:rPr>
  </w:style>
  <w:style w:type="character" w:customStyle="1" w:styleId="VoetnoottekstChar">
    <w:name w:val="Voetnoottekst Char"/>
    <w:link w:val="Voetnoottekst"/>
    <w:uiPriority w:val="99"/>
    <w:semiHidden/>
    <w:rsid w:val="00AF228B"/>
    <w:rPr>
      <w:rFonts w:ascii="Arial" w:hAnsi="Arial"/>
    </w:rPr>
  </w:style>
  <w:style w:type="character" w:styleId="Voetnootmarkering">
    <w:name w:val="footnote reference"/>
    <w:uiPriority w:val="99"/>
    <w:semiHidden/>
    <w:unhideWhenUsed/>
    <w:rsid w:val="00AF228B"/>
    <w:rPr>
      <w:vertAlign w:val="superscript"/>
    </w:rPr>
  </w:style>
  <w:style w:type="character" w:customStyle="1" w:styleId="Onopgelostemelding1">
    <w:name w:val="Onopgeloste melding1"/>
    <w:uiPriority w:val="99"/>
    <w:semiHidden/>
    <w:unhideWhenUsed/>
    <w:rsid w:val="00AF228B"/>
    <w:rPr>
      <w:color w:val="605E5C"/>
      <w:shd w:val="clear" w:color="auto" w:fill="E1DFDD"/>
    </w:rPr>
  </w:style>
  <w:style w:type="character" w:styleId="Verwijzingopmerking">
    <w:name w:val="annotation reference"/>
    <w:basedOn w:val="Standaardalinea-lettertype"/>
    <w:uiPriority w:val="99"/>
    <w:semiHidden/>
    <w:unhideWhenUsed/>
    <w:rsid w:val="000B3BD6"/>
    <w:rPr>
      <w:sz w:val="18"/>
      <w:szCs w:val="18"/>
    </w:rPr>
  </w:style>
  <w:style w:type="paragraph" w:styleId="Tekstopmerking">
    <w:name w:val="annotation text"/>
    <w:basedOn w:val="Standaard"/>
    <w:link w:val="TekstopmerkingChar"/>
    <w:uiPriority w:val="99"/>
    <w:semiHidden/>
    <w:unhideWhenUsed/>
    <w:rsid w:val="000B3BD6"/>
    <w:rPr>
      <w:sz w:val="24"/>
      <w:szCs w:val="24"/>
    </w:rPr>
  </w:style>
  <w:style w:type="character" w:customStyle="1" w:styleId="TekstopmerkingChar">
    <w:name w:val="Tekst opmerking Char"/>
    <w:basedOn w:val="Standaardalinea-lettertype"/>
    <w:link w:val="Tekstopmerking"/>
    <w:uiPriority w:val="99"/>
    <w:semiHidden/>
    <w:rsid w:val="000B3BD6"/>
    <w:rPr>
      <w:rFonts w:ascii="Arial" w:hAnsi="Arial"/>
      <w:sz w:val="24"/>
      <w:szCs w:val="24"/>
    </w:rPr>
  </w:style>
  <w:style w:type="paragraph" w:styleId="Onderwerpvanopmerking">
    <w:name w:val="annotation subject"/>
    <w:basedOn w:val="Tekstopmerking"/>
    <w:next w:val="Tekstopmerking"/>
    <w:link w:val="OnderwerpvanopmerkingChar"/>
    <w:uiPriority w:val="99"/>
    <w:semiHidden/>
    <w:unhideWhenUsed/>
    <w:rsid w:val="000B3BD6"/>
    <w:rPr>
      <w:b/>
      <w:bCs/>
      <w:sz w:val="20"/>
      <w:szCs w:val="20"/>
    </w:rPr>
  </w:style>
  <w:style w:type="character" w:customStyle="1" w:styleId="OnderwerpvanopmerkingChar">
    <w:name w:val="Onderwerp van opmerking Char"/>
    <w:basedOn w:val="TekstopmerkingChar"/>
    <w:link w:val="Onderwerpvanopmerking"/>
    <w:uiPriority w:val="99"/>
    <w:semiHidden/>
    <w:rsid w:val="000B3BD6"/>
    <w:rPr>
      <w:rFonts w:ascii="Arial" w:hAnsi="Arial"/>
      <w:b/>
      <w:bCs/>
      <w:sz w:val="24"/>
      <w:szCs w:val="24"/>
    </w:rPr>
  </w:style>
  <w:style w:type="character" w:styleId="GevolgdeHyperlink">
    <w:name w:val="FollowedHyperlink"/>
    <w:basedOn w:val="Standaardalinea-lettertype"/>
    <w:uiPriority w:val="99"/>
    <w:semiHidden/>
    <w:unhideWhenUsed/>
    <w:rsid w:val="000B3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mropfryslan.nl/nieuws/915853-zoutwinning-de-gaten-houden-alsof-de-slager-zijn-eigen-vlees-keurt" TargetMode="External"/><Relationship Id="rId2" Type="http://schemas.openxmlformats.org/officeDocument/2006/relationships/hyperlink" Target="https://www.sodm.nl/documenten/rapporten/2018/05/31/staat-van-de-sector-zout" TargetMode="External"/><Relationship Id="rId1" Type="http://schemas.openxmlformats.org/officeDocument/2006/relationships/hyperlink" Target="https://www.omropfryslan.nl/nijs/914875-achtergrun-saltwinning-wol-skea-net-folle-baten" TargetMode="External"/><Relationship Id="rId6" Type="http://schemas.openxmlformats.org/officeDocument/2006/relationships/hyperlink" Target="https://maxius.nl/wet-natuurbescherming/artikel5.4/lid1/onderdeeld" TargetMode="External"/><Relationship Id="rId5" Type="http://schemas.openxmlformats.org/officeDocument/2006/relationships/hyperlink" Target="https://www.deltacommissaris.nl/documenten/publicaties/2018/09/18/dp2019-b-rapport-deltares" TargetMode="External"/><Relationship Id="rId4" Type="http://schemas.openxmlformats.org/officeDocument/2006/relationships/hyperlink" Target="https://www.knmi.nl/over-het-knmi/nieuws/ipcc-zee-stijgt-sneller-door-smeltende-gletsjers-en-poolij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E266B8643A941A3AF057418A1468A" ma:contentTypeVersion="6" ma:contentTypeDescription="Een nieuw document maken." ma:contentTypeScope="" ma:versionID="de4284a3893e98c5a594a2d804c71735">
  <xsd:schema xmlns:xsd="http://www.w3.org/2001/XMLSchema" xmlns:xs="http://www.w3.org/2001/XMLSchema" xmlns:p="http://schemas.microsoft.com/office/2006/metadata/properties" xmlns:ns1="http://schemas.microsoft.com/sharepoint/v3" xmlns:ns2="473cec2d-a276-4241-9b06-18da2f016265" xmlns:ns3="39188dbf-99bd-4dec-acbe-70d45a5781b7" targetNamespace="http://schemas.microsoft.com/office/2006/metadata/properties" ma:root="true" ma:fieldsID="0897faf0e5739012ece10734b44e55ea" ns1:_="" ns2:_="" ns3:_="">
    <xsd:import namespace="http://schemas.microsoft.com/sharepoint/v3"/>
    <xsd:import namespace="473cec2d-a276-4241-9b06-18da2f016265"/>
    <xsd:import namespace="39188dbf-99bd-4dec-acbe-70d45a5781b7"/>
    <xsd:element name="properties">
      <xsd:complexType>
        <xsd:sequence>
          <xsd:element name="documentManagement">
            <xsd:complexType>
              <xsd:all>
                <xsd:element ref="ns2:Bibliotheek" minOccurs="0"/>
                <xsd:element ref="ns3:Soarte" minOccurs="0"/>
                <xsd:element ref="ns2:_dlc_DocId" minOccurs="0"/>
                <xsd:element ref="ns2:_dlc_DocIdUrl" minOccurs="0"/>
                <xsd:element ref="ns2:_dlc_DocIdPersistId"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188dbf-99bd-4dec-acbe-70d45a5781b7" elementFormDefault="qualified">
    <xsd:import namespace="http://schemas.microsoft.com/office/2006/documentManagement/types"/>
    <xsd:import namespace="http://schemas.microsoft.com/office/infopath/2007/PartnerControls"/>
    <xsd:element name="Soarte" ma:index="9" nillable="true" ma:displayName="Soarte" ma:default="Format" ma:format="RadioButtons" ma:internalName="Soarte">
      <xsd:simpleType>
        <xsd:restriction base="dms:Choice">
          <xsd:enumeration value="Format"/>
          <xsd:enumeration value="Paadwizer"/>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GRIF-12-145</_dlc_DocId>
    <_dlc_DocIdUrl xmlns="473cec2d-a276-4241-9b06-18da2f016265">
      <Url>https://wurkpleinps.fryslan.nl/_layouts/DocIdRedir.aspx?ID=GRIF-12-145</Url>
      <Description>GRIF-12-145</Description>
    </_dlc_DocIdUrl>
    <DocumentSetDescription xmlns="http://schemas.microsoft.com/sharepoint/v3" xsi:nil="true"/>
    <Soarte xmlns="39188dbf-99bd-4dec-acbe-70d45a5781b7">Format</Soar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07E8-F71F-4048-9D54-A6F4C172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3cec2d-a276-4241-9b06-18da2f016265"/>
    <ds:schemaRef ds:uri="39188dbf-99bd-4dec-acbe-70d45a57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201D9-20E5-4F9F-ADF0-7A9940090A38}">
  <ds:schemaRefs>
    <ds:schemaRef ds:uri="http://purl.org/dc/elements/1.1/"/>
    <ds:schemaRef ds:uri="http://schemas.microsoft.com/office/2006/metadata/properties"/>
    <ds:schemaRef ds:uri="http://schemas.microsoft.com/sharepoint/v3"/>
    <ds:schemaRef ds:uri="http://purl.org/dc/terms/"/>
    <ds:schemaRef ds:uri="39188dbf-99bd-4dec-acbe-70d45a5781b7"/>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73cec2d-a276-4241-9b06-18da2f016265"/>
    <ds:schemaRef ds:uri="http://www.w3.org/XML/1998/namespace"/>
  </ds:schemaRefs>
</ds:datastoreItem>
</file>

<file path=customXml/itemProps3.xml><?xml version="1.0" encoding="utf-8"?>
<ds:datastoreItem xmlns:ds="http://schemas.openxmlformats.org/officeDocument/2006/customXml" ds:itemID="{25BE1DD0-0090-42CC-AF80-225B8F98DEA4}">
  <ds:schemaRefs>
    <ds:schemaRef ds:uri="http://schemas.microsoft.com/sharepoint/v3/contenttype/forms"/>
  </ds:schemaRefs>
</ds:datastoreItem>
</file>

<file path=customXml/itemProps4.xml><?xml version="1.0" encoding="utf-8"?>
<ds:datastoreItem xmlns:ds="http://schemas.openxmlformats.org/officeDocument/2006/customXml" ds:itemID="{6492A90E-E0BD-49F0-8392-9E9382EC764F}">
  <ds:schemaRefs>
    <ds:schemaRef ds:uri="http://schemas.microsoft.com/sharepoint/events"/>
  </ds:schemaRefs>
</ds:datastoreItem>
</file>

<file path=customXml/itemProps5.xml><?xml version="1.0" encoding="utf-8"?>
<ds:datastoreItem xmlns:ds="http://schemas.openxmlformats.org/officeDocument/2006/customXml" ds:itemID="{70ACF8B9-0893-4083-9B95-C70F3A48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SCHRIFTELIJKE VRAGEN, ex artikel 26 Reglement van Orde</vt:lpstr>
    </vt:vector>
  </TitlesOfParts>
  <Company>Provinsje Fryslan</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ex artikel 26 Reglement van Orde</dc:title>
  <dc:subject/>
  <dc:creator>user000</dc:creator>
  <cp:keywords/>
  <dc:description/>
  <cp:lastModifiedBy>Sanne van Wees</cp:lastModifiedBy>
  <cp:revision>3</cp:revision>
  <cp:lastPrinted>2019-11-13T11:23:00Z</cp:lastPrinted>
  <dcterms:created xsi:type="dcterms:W3CDTF">2019-11-15T13:05:00Z</dcterms:created>
  <dcterms:modified xsi:type="dcterms:W3CDTF">2019-11-15T13:05:00Z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0x010100D2CE266B8643A941A3AF057418A1468A</vt:lpwstr>
  </property>
  <property fmtid="{D5CDD505-2E9C-101B-9397-08002B2CF9AE}" pid="3" name="_dlc_DocIdItemGuid">
    <vt:lpwstr>34757e2b-2d77-417a-91bb-79d6608dba4f</vt:lpwstr>
  </property>
  <property fmtid="{D5CDD505-2E9C-101B-9397-08002B2CF9AE}" pid="4" name="Pleatst op wurkpleinps">
    <vt:lpwstr>Ja</vt:lpwstr>
  </property>
</Properties>
</file>