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3736"/>
        <w:gridCol w:w="1112"/>
        <w:gridCol w:w="1697"/>
        <w:gridCol w:w="2527"/>
      </w:tblGrid>
      <w:tr w:rsidR="00D82873" w14:paraId="7903FEF5" w14:textId="77777777" w:rsidTr="00010CF5">
        <w:tc>
          <w:tcPr>
            <w:tcW w:w="3794" w:type="dxa"/>
            <w:tcBorders>
              <w:top w:val="nil"/>
              <w:left w:val="nil"/>
              <w:bottom w:val="nil"/>
              <w:right w:val="nil"/>
            </w:tcBorders>
          </w:tcPr>
          <w:p w14:paraId="3E2C8D5C" w14:textId="77777777" w:rsidR="00D82873" w:rsidRDefault="00D82873" w:rsidP="00010CF5"/>
        </w:tc>
        <w:tc>
          <w:tcPr>
            <w:tcW w:w="1134" w:type="dxa"/>
            <w:tcBorders>
              <w:top w:val="nil"/>
              <w:left w:val="nil"/>
              <w:bottom w:val="nil"/>
              <w:right w:val="nil"/>
            </w:tcBorders>
          </w:tcPr>
          <w:p w14:paraId="4E37D930" w14:textId="77777777" w:rsidR="00D82873" w:rsidRDefault="00D82873" w:rsidP="00010CF5"/>
        </w:tc>
        <w:tc>
          <w:tcPr>
            <w:tcW w:w="4284" w:type="dxa"/>
            <w:gridSpan w:val="2"/>
            <w:tcBorders>
              <w:top w:val="nil"/>
              <w:left w:val="nil"/>
              <w:bottom w:val="nil"/>
              <w:right w:val="nil"/>
            </w:tcBorders>
          </w:tcPr>
          <w:p w14:paraId="4F93ED50" w14:textId="77777777" w:rsidR="00D82873" w:rsidRDefault="00D82873" w:rsidP="00010CF5">
            <w:r>
              <w:t>In te vullen door de griffier</w:t>
            </w:r>
          </w:p>
        </w:tc>
      </w:tr>
      <w:tr w:rsidR="00D82873" w14:paraId="5BC78A55" w14:textId="77777777" w:rsidTr="00010CF5">
        <w:tc>
          <w:tcPr>
            <w:tcW w:w="3794" w:type="dxa"/>
            <w:tcBorders>
              <w:top w:val="nil"/>
              <w:left w:val="nil"/>
              <w:bottom w:val="single" w:sz="4" w:space="0" w:color="auto"/>
              <w:right w:val="nil"/>
            </w:tcBorders>
          </w:tcPr>
          <w:p w14:paraId="29590899" w14:textId="77777777" w:rsidR="00D82873" w:rsidRDefault="00D82873" w:rsidP="00010CF5"/>
        </w:tc>
        <w:tc>
          <w:tcPr>
            <w:tcW w:w="1134" w:type="dxa"/>
            <w:tcBorders>
              <w:top w:val="nil"/>
              <w:left w:val="nil"/>
              <w:bottom w:val="nil"/>
              <w:right w:val="nil"/>
            </w:tcBorders>
          </w:tcPr>
          <w:p w14:paraId="57AB9858" w14:textId="77777777" w:rsidR="00D82873" w:rsidRDefault="00D82873" w:rsidP="00010CF5"/>
        </w:tc>
        <w:tc>
          <w:tcPr>
            <w:tcW w:w="1701" w:type="dxa"/>
            <w:tcBorders>
              <w:top w:val="nil"/>
              <w:left w:val="nil"/>
              <w:right w:val="nil"/>
            </w:tcBorders>
          </w:tcPr>
          <w:p w14:paraId="6D003BBC" w14:textId="77777777" w:rsidR="00D82873" w:rsidRDefault="00D82873" w:rsidP="00010CF5"/>
        </w:tc>
        <w:tc>
          <w:tcPr>
            <w:tcW w:w="2583" w:type="dxa"/>
            <w:tcBorders>
              <w:top w:val="nil"/>
              <w:left w:val="nil"/>
              <w:right w:val="nil"/>
            </w:tcBorders>
          </w:tcPr>
          <w:p w14:paraId="3D009E59" w14:textId="77777777" w:rsidR="00D82873" w:rsidRDefault="00D82873" w:rsidP="00010CF5"/>
        </w:tc>
      </w:tr>
      <w:tr w:rsidR="00D82873" w14:paraId="237B9932" w14:textId="77777777" w:rsidTr="00010CF5">
        <w:tc>
          <w:tcPr>
            <w:tcW w:w="3794" w:type="dxa"/>
            <w:vMerge w:val="restart"/>
            <w:tcBorders>
              <w:top w:val="single" w:sz="4" w:space="0" w:color="auto"/>
            </w:tcBorders>
          </w:tcPr>
          <w:p w14:paraId="16C696B3" w14:textId="12270804" w:rsidR="00D82873" w:rsidRDefault="00D82873" w:rsidP="00010CF5">
            <w:r>
              <w:t>Indiener:</w:t>
            </w:r>
            <w:r w:rsidR="00A6315C">
              <w:t xml:space="preserve"> GrienLinks</w:t>
            </w:r>
          </w:p>
          <w:p w14:paraId="5B900A6C" w14:textId="77777777" w:rsidR="00D82873" w:rsidRDefault="00D82873" w:rsidP="00010CF5"/>
          <w:p w14:paraId="3FECB052" w14:textId="77777777" w:rsidR="00D82873" w:rsidRDefault="00D82873" w:rsidP="00010CF5">
            <w:r>
              <w:t>Mede-indiener(s):</w:t>
            </w:r>
          </w:p>
          <w:p w14:paraId="76350085" w14:textId="77777777" w:rsidR="00D82873" w:rsidRDefault="00D82873" w:rsidP="00010CF5"/>
          <w:p w14:paraId="6A61DA23" w14:textId="77777777" w:rsidR="00D82873" w:rsidRDefault="00D82873" w:rsidP="00010CF5"/>
          <w:p w14:paraId="46FA593D" w14:textId="77777777" w:rsidR="00D82873" w:rsidRDefault="00D82873" w:rsidP="00010CF5"/>
          <w:p w14:paraId="0D3E61EA" w14:textId="77777777" w:rsidR="00D82873" w:rsidRDefault="00D82873" w:rsidP="00010CF5"/>
          <w:p w14:paraId="2D3EFEF0" w14:textId="77777777" w:rsidR="00D82873" w:rsidRDefault="00D82873" w:rsidP="00010CF5"/>
          <w:p w14:paraId="72C84818" w14:textId="77777777" w:rsidR="00D82873" w:rsidRDefault="00D82873" w:rsidP="00010CF5"/>
          <w:p w14:paraId="428F32F3" w14:textId="4815436B" w:rsidR="00D82873" w:rsidRDefault="00D82873" w:rsidP="00010CF5"/>
        </w:tc>
        <w:tc>
          <w:tcPr>
            <w:tcW w:w="1134" w:type="dxa"/>
            <w:tcBorders>
              <w:top w:val="nil"/>
              <w:bottom w:val="nil"/>
            </w:tcBorders>
          </w:tcPr>
          <w:p w14:paraId="0AA27C22" w14:textId="77777777" w:rsidR="00D82873" w:rsidRDefault="00D82873" w:rsidP="00010CF5"/>
        </w:tc>
        <w:tc>
          <w:tcPr>
            <w:tcW w:w="1701" w:type="dxa"/>
          </w:tcPr>
          <w:p w14:paraId="1680CE64" w14:textId="33636E1B" w:rsidR="00D82873" w:rsidRDefault="006B6FAC" w:rsidP="00010CF5">
            <w:r>
              <w:t>Amendement</w:t>
            </w:r>
            <w:r w:rsidR="00D82873">
              <w:t xml:space="preserve"> nr.</w:t>
            </w:r>
          </w:p>
          <w:p w14:paraId="667A81FB" w14:textId="77777777" w:rsidR="00D82873" w:rsidRDefault="00D82873" w:rsidP="00010CF5"/>
        </w:tc>
        <w:tc>
          <w:tcPr>
            <w:tcW w:w="2583" w:type="dxa"/>
          </w:tcPr>
          <w:p w14:paraId="04D9681B" w14:textId="77777777" w:rsidR="00D82873" w:rsidRDefault="00D82873" w:rsidP="00010CF5"/>
        </w:tc>
      </w:tr>
      <w:tr w:rsidR="00D82873" w14:paraId="4AF43E05" w14:textId="77777777" w:rsidTr="00010CF5">
        <w:tc>
          <w:tcPr>
            <w:tcW w:w="3794" w:type="dxa"/>
            <w:vMerge/>
          </w:tcPr>
          <w:p w14:paraId="57B0CE48" w14:textId="77777777" w:rsidR="00D82873" w:rsidRDefault="00D82873" w:rsidP="00010CF5"/>
        </w:tc>
        <w:tc>
          <w:tcPr>
            <w:tcW w:w="1134" w:type="dxa"/>
            <w:tcBorders>
              <w:top w:val="nil"/>
              <w:bottom w:val="nil"/>
            </w:tcBorders>
          </w:tcPr>
          <w:p w14:paraId="34E6860F" w14:textId="77777777" w:rsidR="00D82873" w:rsidRDefault="00D82873" w:rsidP="00010CF5"/>
        </w:tc>
        <w:tc>
          <w:tcPr>
            <w:tcW w:w="1701" w:type="dxa"/>
          </w:tcPr>
          <w:p w14:paraId="0AB1C87E" w14:textId="77777777" w:rsidR="00D82873" w:rsidRDefault="00D82873" w:rsidP="00010CF5">
            <w:r>
              <w:t>Paraaf</w:t>
            </w:r>
          </w:p>
          <w:p w14:paraId="6165317C" w14:textId="77777777" w:rsidR="00D82873" w:rsidRDefault="00D82873" w:rsidP="00010CF5"/>
          <w:p w14:paraId="0228463B" w14:textId="77777777" w:rsidR="00D82873" w:rsidRDefault="00D82873" w:rsidP="00010CF5"/>
        </w:tc>
        <w:tc>
          <w:tcPr>
            <w:tcW w:w="2583" w:type="dxa"/>
          </w:tcPr>
          <w:p w14:paraId="5E1AF34A" w14:textId="77777777" w:rsidR="00D82873" w:rsidRDefault="00D82873" w:rsidP="00010CF5"/>
        </w:tc>
      </w:tr>
      <w:tr w:rsidR="00D82873" w14:paraId="15B2038B" w14:textId="77777777" w:rsidTr="00010CF5">
        <w:tc>
          <w:tcPr>
            <w:tcW w:w="3794" w:type="dxa"/>
            <w:vMerge/>
          </w:tcPr>
          <w:p w14:paraId="16FC1205" w14:textId="77777777" w:rsidR="00D82873" w:rsidRDefault="00D82873" w:rsidP="00010CF5"/>
        </w:tc>
        <w:tc>
          <w:tcPr>
            <w:tcW w:w="1134" w:type="dxa"/>
            <w:tcBorders>
              <w:top w:val="nil"/>
              <w:bottom w:val="nil"/>
            </w:tcBorders>
          </w:tcPr>
          <w:p w14:paraId="5F4C193D" w14:textId="77777777" w:rsidR="00D82873" w:rsidRDefault="00D82873" w:rsidP="00010CF5"/>
        </w:tc>
        <w:tc>
          <w:tcPr>
            <w:tcW w:w="1701" w:type="dxa"/>
          </w:tcPr>
          <w:p w14:paraId="057127AF" w14:textId="77777777" w:rsidR="00D82873" w:rsidRDefault="00D82873" w:rsidP="00010CF5">
            <w:r>
              <w:t>Agendapunt</w:t>
            </w:r>
          </w:p>
          <w:p w14:paraId="610C14FA" w14:textId="77777777" w:rsidR="00D82873" w:rsidRDefault="00D82873" w:rsidP="00010CF5"/>
          <w:p w14:paraId="278DA1B3" w14:textId="77777777" w:rsidR="00D82873" w:rsidRDefault="00D82873" w:rsidP="00010CF5"/>
        </w:tc>
        <w:tc>
          <w:tcPr>
            <w:tcW w:w="2583" w:type="dxa"/>
          </w:tcPr>
          <w:p w14:paraId="7F81128F" w14:textId="77777777" w:rsidR="00D82873" w:rsidRDefault="00D82873" w:rsidP="00010CF5"/>
        </w:tc>
      </w:tr>
      <w:tr w:rsidR="00D82873" w14:paraId="6C00FE12" w14:textId="77777777" w:rsidTr="00010CF5">
        <w:tc>
          <w:tcPr>
            <w:tcW w:w="3794" w:type="dxa"/>
            <w:vMerge/>
          </w:tcPr>
          <w:p w14:paraId="693EAE41" w14:textId="77777777" w:rsidR="00D82873" w:rsidRDefault="00D82873" w:rsidP="00010CF5"/>
        </w:tc>
        <w:tc>
          <w:tcPr>
            <w:tcW w:w="1134" w:type="dxa"/>
            <w:tcBorders>
              <w:top w:val="nil"/>
              <w:bottom w:val="nil"/>
            </w:tcBorders>
          </w:tcPr>
          <w:p w14:paraId="24AFEDC0" w14:textId="77777777" w:rsidR="00D82873" w:rsidRDefault="00D82873" w:rsidP="00010CF5"/>
        </w:tc>
        <w:tc>
          <w:tcPr>
            <w:tcW w:w="1701" w:type="dxa"/>
          </w:tcPr>
          <w:p w14:paraId="0C409514" w14:textId="77777777" w:rsidR="00D82873" w:rsidRDefault="00D82873" w:rsidP="00010CF5">
            <w:r>
              <w:t>Besluit</w:t>
            </w:r>
          </w:p>
          <w:p w14:paraId="24A3C7D4" w14:textId="77777777" w:rsidR="00D82873" w:rsidRDefault="00D82873" w:rsidP="00010CF5"/>
          <w:p w14:paraId="3A35E642" w14:textId="77777777" w:rsidR="00D82873" w:rsidRDefault="00D82873" w:rsidP="00010CF5"/>
        </w:tc>
        <w:tc>
          <w:tcPr>
            <w:tcW w:w="2583" w:type="dxa"/>
          </w:tcPr>
          <w:p w14:paraId="40CF4E70" w14:textId="77777777" w:rsidR="00D82873" w:rsidRDefault="00D82873" w:rsidP="00010CF5"/>
        </w:tc>
      </w:tr>
    </w:tbl>
    <w:p w14:paraId="011D4BE5" w14:textId="6623E6A6" w:rsidR="00A53813" w:rsidRDefault="00A53813"/>
    <w:tbl>
      <w:tblPr>
        <w:tblStyle w:val="Tabelraster"/>
        <w:tblW w:w="0" w:type="auto"/>
        <w:tblLook w:val="01E0" w:firstRow="1" w:lastRow="1" w:firstColumn="1" w:lastColumn="1" w:noHBand="0" w:noVBand="0"/>
      </w:tblPr>
      <w:tblGrid>
        <w:gridCol w:w="9062"/>
      </w:tblGrid>
      <w:tr w:rsidR="006B6FAC" w:rsidRPr="00A53813" w14:paraId="26A9960D" w14:textId="77777777" w:rsidTr="00010CF5">
        <w:tc>
          <w:tcPr>
            <w:tcW w:w="9212" w:type="dxa"/>
          </w:tcPr>
          <w:p w14:paraId="12B436DE" w14:textId="77777777" w:rsidR="006B6FAC" w:rsidRPr="00A53813" w:rsidRDefault="006B6FAC" w:rsidP="00010CF5">
            <w:pPr>
              <w:rPr>
                <w:b/>
              </w:rPr>
            </w:pPr>
            <w:r w:rsidRPr="00A53813">
              <w:rPr>
                <w:b/>
              </w:rPr>
              <w:t>AMENDEMENT, ex artikel 2</w:t>
            </w:r>
            <w:r>
              <w:rPr>
                <w:b/>
              </w:rPr>
              <w:t>8</w:t>
            </w:r>
            <w:r w:rsidRPr="00A53813">
              <w:rPr>
                <w:b/>
              </w:rPr>
              <w:t xml:space="preserve"> Reglement van Orde</w:t>
            </w:r>
          </w:p>
        </w:tc>
      </w:tr>
    </w:tbl>
    <w:p w14:paraId="52EE3B6D" w14:textId="77777777" w:rsidR="006B6FAC" w:rsidRDefault="006B6FAC" w:rsidP="006B6FAC"/>
    <w:tbl>
      <w:tblPr>
        <w:tblStyle w:val="Tabelraster"/>
        <w:tblW w:w="0" w:type="auto"/>
        <w:tblLook w:val="01E0" w:firstRow="1" w:lastRow="1" w:firstColumn="1" w:lastColumn="1" w:noHBand="0" w:noVBand="0"/>
      </w:tblPr>
      <w:tblGrid>
        <w:gridCol w:w="2014"/>
        <w:gridCol w:w="7048"/>
      </w:tblGrid>
      <w:tr w:rsidR="00A53813" w14:paraId="011D4BEC" w14:textId="77777777" w:rsidTr="001E2510">
        <w:tc>
          <w:tcPr>
            <w:tcW w:w="2014" w:type="dxa"/>
          </w:tcPr>
          <w:p w14:paraId="011D4BE9" w14:textId="77777777" w:rsidR="00A53813" w:rsidRDefault="00A53813">
            <w:r>
              <w:t>Statenvergadering</w:t>
            </w:r>
          </w:p>
          <w:p w14:paraId="011D4BEA" w14:textId="77777777" w:rsidR="00A53813" w:rsidRDefault="00A53813"/>
        </w:tc>
        <w:tc>
          <w:tcPr>
            <w:tcW w:w="7048" w:type="dxa"/>
          </w:tcPr>
          <w:p w14:paraId="011D4BEB" w14:textId="3783041F" w:rsidR="00A53813" w:rsidRDefault="00A6315C">
            <w:r>
              <w:t>17 juni 2020</w:t>
            </w:r>
          </w:p>
        </w:tc>
      </w:tr>
      <w:tr w:rsidR="00A53813" w14:paraId="011D4BF0" w14:textId="77777777" w:rsidTr="001E2510">
        <w:tc>
          <w:tcPr>
            <w:tcW w:w="2014" w:type="dxa"/>
          </w:tcPr>
          <w:p w14:paraId="011D4BED" w14:textId="77777777" w:rsidR="00A53813" w:rsidRDefault="00A53813">
            <w:r>
              <w:t>Agendapunt</w:t>
            </w:r>
          </w:p>
          <w:p w14:paraId="011D4BEE" w14:textId="77777777" w:rsidR="00A53813" w:rsidRDefault="00A53813"/>
        </w:tc>
        <w:tc>
          <w:tcPr>
            <w:tcW w:w="7048" w:type="dxa"/>
          </w:tcPr>
          <w:p w14:paraId="011D4BEF" w14:textId="5298E852" w:rsidR="00A53813" w:rsidRDefault="00A6315C">
            <w:r>
              <w:t>Herstelplan Thialf</w:t>
            </w:r>
          </w:p>
        </w:tc>
      </w:tr>
      <w:tr w:rsidR="004D0E06" w14:paraId="22AB6E19" w14:textId="77777777" w:rsidTr="001E2510">
        <w:tc>
          <w:tcPr>
            <w:tcW w:w="2014" w:type="dxa"/>
          </w:tcPr>
          <w:p w14:paraId="6236ED99" w14:textId="091482B5" w:rsidR="004D0E06" w:rsidRDefault="00E00E66">
            <w:r>
              <w:t>Korte t</w:t>
            </w:r>
            <w:r w:rsidR="004D0E06">
              <w:t>itel amendement</w:t>
            </w:r>
          </w:p>
          <w:p w14:paraId="30095801" w14:textId="77777777" w:rsidR="004D0E06" w:rsidRDefault="004D0E06"/>
        </w:tc>
        <w:tc>
          <w:tcPr>
            <w:tcW w:w="7048" w:type="dxa"/>
          </w:tcPr>
          <w:p w14:paraId="7181FBF2" w14:textId="598D3B27" w:rsidR="004D0E06" w:rsidRDefault="00A6315C">
            <w:r>
              <w:t>Tijdelijke bijdrage Thialf onder voorwaarden</w:t>
            </w:r>
          </w:p>
        </w:tc>
      </w:tr>
      <w:tr w:rsidR="004217AB" w14:paraId="011D4BF7" w14:textId="77777777" w:rsidTr="001E2510">
        <w:tc>
          <w:tcPr>
            <w:tcW w:w="9062" w:type="dxa"/>
            <w:gridSpan w:val="2"/>
          </w:tcPr>
          <w:p w14:paraId="011D4BF1" w14:textId="77777777" w:rsidR="004217AB" w:rsidRDefault="004217AB">
            <w:r>
              <w:t>Toelichting op het amendement:</w:t>
            </w:r>
          </w:p>
          <w:p w14:paraId="5270196F" w14:textId="77777777" w:rsidR="00A6315C" w:rsidRDefault="00A6315C" w:rsidP="00A6315C"/>
          <w:p w14:paraId="7902E5EB" w14:textId="4A85B3EA" w:rsidR="00A6315C" w:rsidRDefault="00A6315C" w:rsidP="00A6315C">
            <w:r>
              <w:t xml:space="preserve">Uit het herstelplan blijkt dat er op dit moment geen zicht is op een dekkende exploitatie en geen zicht is op hoe de miljoenen kostende extra investeringen opgebracht moeten worden. Tijdens de expertmeeting en uit het herstelplan is gebleken dat de KNSB en het NOC/NSF (en o.a. het Rijk) op dit moment geen extra bijdrage (willen) leveren aan het dekkend krijgen van de exploitatie of de extra investeringen. </w:t>
            </w:r>
          </w:p>
          <w:p w14:paraId="5ECB8AC4" w14:textId="77777777" w:rsidR="00A6315C" w:rsidRDefault="00A6315C" w:rsidP="00A6315C"/>
          <w:p w14:paraId="011D4BF5" w14:textId="70F791F0" w:rsidR="004217AB" w:rsidRDefault="00A6315C">
            <w:r>
              <w:t xml:space="preserve">De provincie heeft met de beslissing in 2013 over de vernieuwbouw van Thialf al 50 miljoen euro </w:t>
            </w:r>
            <w:proofErr w:type="spellStart"/>
            <w:r>
              <w:t>geinvesteerd</w:t>
            </w:r>
            <w:proofErr w:type="spellEnd"/>
            <w:r w:rsidR="001E2510">
              <w:t>.</w:t>
            </w:r>
            <w:r>
              <w:t xml:space="preserve"> De provincie is echter een overheidsorgaan met een publieke taak. Het financieel ‘dragen’ van een ijshal zou daar niet bij hoeven horen. Maar vanwege de nationale en internationale uitstraling van Thialf lijkt er wel behoefte te zijn aan een andere oplossing dan een bankroet. </w:t>
            </w:r>
          </w:p>
          <w:p w14:paraId="64A6A297" w14:textId="67B8652D" w:rsidR="00113AC5" w:rsidRDefault="00113AC5"/>
          <w:p w14:paraId="280E65E3" w14:textId="3E0274B8" w:rsidR="00113AC5" w:rsidRPr="00224D74" w:rsidRDefault="00113AC5">
            <w:pPr>
              <w:rPr>
                <w:i/>
                <w:iCs/>
              </w:rPr>
            </w:pPr>
            <w:r w:rsidRPr="00224D74">
              <w:rPr>
                <w:i/>
                <w:iCs/>
              </w:rPr>
              <w:t xml:space="preserve">Dinsdagavond laat werd een bericht rondgestuurd over een bijdrage van het NOC/NSF van 250.000 euro. Onduidelijk is voor welke periode dit toegezegd is. </w:t>
            </w:r>
            <w:r w:rsidR="00612F7C" w:rsidRPr="00224D74">
              <w:rPr>
                <w:i/>
                <w:iCs/>
              </w:rPr>
              <w:t>Zelfs a</w:t>
            </w:r>
            <w:r w:rsidR="009A6541" w:rsidRPr="00224D74">
              <w:rPr>
                <w:i/>
                <w:iCs/>
              </w:rPr>
              <w:t>ls dit een stru</w:t>
            </w:r>
            <w:r w:rsidR="00612F7C" w:rsidRPr="00224D74">
              <w:rPr>
                <w:i/>
                <w:iCs/>
              </w:rPr>
              <w:t>cturele bijdrage is, dan nog is h</w:t>
            </w:r>
            <w:r w:rsidR="009A6541" w:rsidRPr="00224D74">
              <w:rPr>
                <w:i/>
                <w:iCs/>
              </w:rPr>
              <w:t>et</w:t>
            </w:r>
            <w:r w:rsidRPr="00224D74">
              <w:rPr>
                <w:i/>
                <w:iCs/>
              </w:rPr>
              <w:t xml:space="preserve"> exploitatietekort rond de 4 ton en ook de kosten voor de investeringen zijn nog niet gedekt. Er ligt nog steeds geen goed onderbouwd herstelplan en/of zicht op een dekkende begroting.  </w:t>
            </w:r>
          </w:p>
          <w:p w14:paraId="011D4BF6" w14:textId="47C69DAF" w:rsidR="004A2504" w:rsidRDefault="004A2504"/>
        </w:tc>
      </w:tr>
      <w:tr w:rsidR="006D21D1" w14:paraId="011D4BF9" w14:textId="77777777" w:rsidTr="001E2510">
        <w:tc>
          <w:tcPr>
            <w:tcW w:w="9062" w:type="dxa"/>
            <w:gridSpan w:val="2"/>
          </w:tcPr>
          <w:p w14:paraId="011D4BF8" w14:textId="77777777" w:rsidR="006D21D1" w:rsidRDefault="006D21D1">
            <w:r>
              <w:t>De ondergetekende(n) stelt/stellen het volgende amendement voor</w:t>
            </w:r>
          </w:p>
        </w:tc>
      </w:tr>
      <w:tr w:rsidR="00F16574" w14:paraId="011D4BFF" w14:textId="77777777" w:rsidTr="001E2510">
        <w:trPr>
          <w:trHeight w:val="899"/>
        </w:trPr>
        <w:tc>
          <w:tcPr>
            <w:tcW w:w="2014" w:type="dxa"/>
            <w:vMerge w:val="restart"/>
          </w:tcPr>
          <w:p w14:paraId="011D4BFA" w14:textId="77777777" w:rsidR="00F16574" w:rsidRDefault="00F16574">
            <w:r>
              <w:t>Overweg</w:t>
            </w:r>
            <w:r w:rsidR="006D21D1">
              <w:t>ingen</w:t>
            </w:r>
          </w:p>
        </w:tc>
        <w:tc>
          <w:tcPr>
            <w:tcW w:w="7048" w:type="dxa"/>
          </w:tcPr>
          <w:p w14:paraId="011D4BFB" w14:textId="77777777" w:rsidR="00F16574" w:rsidRDefault="00F16574">
            <w:r>
              <w:t>Schrapp</w:t>
            </w:r>
            <w:r w:rsidR="006D21D1">
              <w:t>en uit overwegingen bij besluit:</w:t>
            </w:r>
          </w:p>
          <w:p w14:paraId="011D4BFE" w14:textId="77777777" w:rsidR="00F16574" w:rsidRDefault="00F16574"/>
        </w:tc>
      </w:tr>
      <w:tr w:rsidR="00F16574" w14:paraId="011D4C05" w14:textId="77777777" w:rsidTr="001E2510">
        <w:trPr>
          <w:trHeight w:val="841"/>
        </w:trPr>
        <w:tc>
          <w:tcPr>
            <w:tcW w:w="2014" w:type="dxa"/>
            <w:vMerge/>
          </w:tcPr>
          <w:p w14:paraId="011D4C00" w14:textId="77777777" w:rsidR="00F16574" w:rsidRDefault="00F16574"/>
        </w:tc>
        <w:tc>
          <w:tcPr>
            <w:tcW w:w="7048" w:type="dxa"/>
          </w:tcPr>
          <w:p w14:paraId="011D4C01" w14:textId="77777777" w:rsidR="00F16574" w:rsidRDefault="00F16574">
            <w:r>
              <w:t xml:space="preserve">Toevoegen aan overwegingen </w:t>
            </w:r>
            <w:r w:rsidR="006D21D1">
              <w:t>bij besluit:</w:t>
            </w:r>
          </w:p>
          <w:p w14:paraId="011D4C02" w14:textId="7A8E48B9" w:rsidR="00F16574" w:rsidRDefault="00F16574"/>
          <w:p w14:paraId="3F88E83A" w14:textId="57E2FC4F" w:rsidR="00A6315C" w:rsidRDefault="00A6315C" w:rsidP="00A6315C">
            <w:pPr>
              <w:pStyle w:val="Lijstalinea"/>
              <w:numPr>
                <w:ilvl w:val="0"/>
                <w:numId w:val="1"/>
              </w:numPr>
            </w:pPr>
            <w:r w:rsidRPr="00A6315C">
              <w:t>Uit het herstelplan blijkt dat er op dit moment geen zicht is op een dekkende exploitatie en geen zicht is op hoe de miljoenen kostende extra investeringen opgebracht moeten worden</w:t>
            </w:r>
            <w:r>
              <w:t>;</w:t>
            </w:r>
          </w:p>
          <w:p w14:paraId="39F6406F" w14:textId="1EAD1242" w:rsidR="00A6315C" w:rsidRDefault="00A6315C" w:rsidP="00A6315C">
            <w:pPr>
              <w:pStyle w:val="Lijstalinea"/>
              <w:numPr>
                <w:ilvl w:val="0"/>
                <w:numId w:val="1"/>
              </w:numPr>
            </w:pPr>
            <w:r>
              <w:lastRenderedPageBreak/>
              <w:t xml:space="preserve">De provincie al meer dan bij haar taak hoort heeft geïnvesteerd in Thialf; </w:t>
            </w:r>
          </w:p>
          <w:p w14:paraId="54460F50" w14:textId="65891B23" w:rsidR="00A6315C" w:rsidRDefault="00A6315C" w:rsidP="00A6315C">
            <w:pPr>
              <w:pStyle w:val="Lijstalinea"/>
              <w:numPr>
                <w:ilvl w:val="0"/>
                <w:numId w:val="1"/>
              </w:numPr>
            </w:pPr>
            <w:r>
              <w:t>V</w:t>
            </w:r>
            <w:r w:rsidRPr="00A6315C">
              <w:t>anwege de nationale en internationale uitstraling van Thialf er wel behoefte</w:t>
            </w:r>
            <w:r>
              <w:t xml:space="preserve"> lijkt</w:t>
            </w:r>
            <w:r w:rsidRPr="00A6315C">
              <w:t xml:space="preserve"> te zijn aan een andere oplossing dan een bankroet</w:t>
            </w:r>
            <w:r>
              <w:t>;</w:t>
            </w:r>
          </w:p>
          <w:p w14:paraId="0BE56876" w14:textId="77777777" w:rsidR="00F16574" w:rsidRDefault="00F16574"/>
          <w:p w14:paraId="011D4C04" w14:textId="7AE53188" w:rsidR="004D0E06" w:rsidRDefault="004D0E06"/>
        </w:tc>
      </w:tr>
      <w:tr w:rsidR="00F16574" w14:paraId="011D4C10" w14:textId="77777777" w:rsidTr="001E2510">
        <w:trPr>
          <w:trHeight w:val="371"/>
        </w:trPr>
        <w:tc>
          <w:tcPr>
            <w:tcW w:w="2014" w:type="dxa"/>
            <w:vMerge w:val="restart"/>
          </w:tcPr>
          <w:p w14:paraId="011D4C0A" w14:textId="08C40081" w:rsidR="00F16574" w:rsidRDefault="006D21D1">
            <w:r>
              <w:lastRenderedPageBreak/>
              <w:t>Besluit</w:t>
            </w:r>
          </w:p>
        </w:tc>
        <w:tc>
          <w:tcPr>
            <w:tcW w:w="7048" w:type="dxa"/>
          </w:tcPr>
          <w:p w14:paraId="011D4C0B" w14:textId="77777777" w:rsidR="00F16574" w:rsidRDefault="006D21D1">
            <w:r>
              <w:t>Schrappen uit tekst besluit:</w:t>
            </w:r>
          </w:p>
          <w:p w14:paraId="011D4C0C" w14:textId="77777777" w:rsidR="00F16574" w:rsidRDefault="00F16574"/>
          <w:p w14:paraId="3E344FAD" w14:textId="77777777" w:rsidR="001E2510" w:rsidRDefault="001E2510" w:rsidP="001E2510">
            <w:proofErr w:type="spellStart"/>
            <w:r>
              <w:t>Oan</w:t>
            </w:r>
            <w:proofErr w:type="spellEnd"/>
            <w:r>
              <w:t xml:space="preserve"> PS </w:t>
            </w:r>
            <w:proofErr w:type="spellStart"/>
            <w:r>
              <w:t>wurdt</w:t>
            </w:r>
            <w:proofErr w:type="spellEnd"/>
            <w:r>
              <w:t xml:space="preserve"> </w:t>
            </w:r>
            <w:proofErr w:type="spellStart"/>
            <w:r>
              <w:t>frege</w:t>
            </w:r>
            <w:proofErr w:type="spellEnd"/>
            <w:r>
              <w:t>:</w:t>
            </w:r>
          </w:p>
          <w:p w14:paraId="77E16514" w14:textId="77777777" w:rsidR="001E2510" w:rsidRDefault="001E2510" w:rsidP="001E2510">
            <w:r>
              <w:t xml:space="preserve">1. </w:t>
            </w:r>
            <w:proofErr w:type="spellStart"/>
            <w:r>
              <w:t>it</w:t>
            </w:r>
            <w:proofErr w:type="spellEnd"/>
            <w:r>
              <w:t xml:space="preserve"> </w:t>
            </w:r>
            <w:proofErr w:type="spellStart"/>
            <w:r>
              <w:t>beskikberstellen</w:t>
            </w:r>
            <w:proofErr w:type="spellEnd"/>
            <w:r>
              <w:t xml:space="preserve"> fan in </w:t>
            </w:r>
            <w:proofErr w:type="spellStart"/>
            <w:r>
              <w:t>bydrage</w:t>
            </w:r>
            <w:proofErr w:type="spellEnd"/>
            <w:r>
              <w:t xml:space="preserve"> fan 2.000.000 euro om de redding en </w:t>
            </w:r>
            <w:proofErr w:type="spellStart"/>
            <w:r>
              <w:t>werstrukture-arring</w:t>
            </w:r>
            <w:proofErr w:type="spellEnd"/>
            <w:r>
              <w:t xml:space="preserve"> </w:t>
            </w:r>
            <w:proofErr w:type="spellStart"/>
            <w:r>
              <w:t>dy’t</w:t>
            </w:r>
            <w:proofErr w:type="spellEnd"/>
            <w:r>
              <w:t xml:space="preserve"> fan </w:t>
            </w:r>
            <w:proofErr w:type="spellStart"/>
            <w:r>
              <w:t>neden</w:t>
            </w:r>
            <w:proofErr w:type="spellEnd"/>
            <w:r>
              <w:t xml:space="preserve"> is om </w:t>
            </w:r>
            <w:proofErr w:type="spellStart"/>
            <w:r>
              <w:t>it</w:t>
            </w:r>
            <w:proofErr w:type="spellEnd"/>
            <w:r>
              <w:t xml:space="preserve"> </w:t>
            </w:r>
            <w:proofErr w:type="spellStart"/>
            <w:r>
              <w:t>likwiditeitstekoart</w:t>
            </w:r>
            <w:proofErr w:type="spellEnd"/>
            <w:r>
              <w:t xml:space="preserve"> </w:t>
            </w:r>
            <w:proofErr w:type="spellStart"/>
            <w:r>
              <w:t>yn</w:t>
            </w:r>
            <w:proofErr w:type="spellEnd"/>
            <w:r>
              <w:t xml:space="preserve"> de </w:t>
            </w:r>
            <w:proofErr w:type="spellStart"/>
            <w:r>
              <w:t>folsleine</w:t>
            </w:r>
            <w:proofErr w:type="spellEnd"/>
            <w:r>
              <w:t xml:space="preserve"> </w:t>
            </w:r>
            <w:proofErr w:type="spellStart"/>
            <w:r>
              <w:t>ymplemintaasje</w:t>
            </w:r>
            <w:proofErr w:type="spellEnd"/>
            <w:r>
              <w:t xml:space="preserve"> fan </w:t>
            </w:r>
            <w:proofErr w:type="spellStart"/>
            <w:r>
              <w:t>it</w:t>
            </w:r>
            <w:proofErr w:type="spellEnd"/>
            <w:r>
              <w:t xml:space="preserve"> </w:t>
            </w:r>
            <w:proofErr w:type="spellStart"/>
            <w:r>
              <w:t>wer</w:t>
            </w:r>
            <w:proofErr w:type="spellEnd"/>
            <w:r>
              <w:t xml:space="preserve">-stelplan o/m </w:t>
            </w:r>
            <w:proofErr w:type="spellStart"/>
            <w:r>
              <w:t>septimber</w:t>
            </w:r>
            <w:proofErr w:type="spellEnd"/>
            <w:r>
              <w:t xml:space="preserve"> 2022 te dekken ut de </w:t>
            </w:r>
            <w:proofErr w:type="spellStart"/>
            <w:r>
              <w:t>begruttingsreserve</w:t>
            </w:r>
            <w:proofErr w:type="spellEnd"/>
            <w:r>
              <w:t>.</w:t>
            </w:r>
          </w:p>
          <w:p w14:paraId="011D4C0E" w14:textId="1CEFAA2D" w:rsidR="00F16574" w:rsidRDefault="001E2510" w:rsidP="001E2510">
            <w:r>
              <w:t xml:space="preserve">2. </w:t>
            </w:r>
            <w:proofErr w:type="spellStart"/>
            <w:r>
              <w:t>taheakke</w:t>
            </w:r>
            <w:proofErr w:type="spellEnd"/>
            <w:r>
              <w:t xml:space="preserve"> </w:t>
            </w:r>
            <w:proofErr w:type="spellStart"/>
            <w:r>
              <w:t>begruttingswiziging</w:t>
            </w:r>
            <w:proofErr w:type="spellEnd"/>
            <w:r>
              <w:t xml:space="preserve"> </w:t>
            </w:r>
            <w:proofErr w:type="spellStart"/>
            <w:r>
              <w:t>fêst</w:t>
            </w:r>
            <w:proofErr w:type="spellEnd"/>
            <w:r>
              <w:t xml:space="preserve"> te stellen</w:t>
            </w:r>
          </w:p>
          <w:p w14:paraId="011D4C0F" w14:textId="77777777" w:rsidR="00F16574" w:rsidRDefault="00F16574"/>
        </w:tc>
      </w:tr>
      <w:tr w:rsidR="00F16574" w14:paraId="011D4C17" w14:textId="77777777" w:rsidTr="001E2510">
        <w:trPr>
          <w:trHeight w:val="370"/>
        </w:trPr>
        <w:tc>
          <w:tcPr>
            <w:tcW w:w="2014" w:type="dxa"/>
            <w:vMerge/>
          </w:tcPr>
          <w:p w14:paraId="011D4C11" w14:textId="77777777" w:rsidR="00F16574" w:rsidRDefault="00F16574"/>
        </w:tc>
        <w:tc>
          <w:tcPr>
            <w:tcW w:w="7048" w:type="dxa"/>
          </w:tcPr>
          <w:p w14:paraId="011D4C12" w14:textId="77777777" w:rsidR="00F16574" w:rsidRDefault="006D21D1">
            <w:r>
              <w:t>Geschrapte tekst vervangen door:</w:t>
            </w:r>
          </w:p>
          <w:p w14:paraId="011D4C13" w14:textId="77777777" w:rsidR="00F16574" w:rsidRDefault="00F16574"/>
          <w:p w14:paraId="0890D441" w14:textId="3CCA77FA" w:rsidR="001E2510" w:rsidRDefault="00CC0E7B" w:rsidP="00CC0E7B">
            <w:r>
              <w:t>1.</w:t>
            </w:r>
            <w:r w:rsidR="001E2510">
              <w:t xml:space="preserve">Een </w:t>
            </w:r>
            <w:proofErr w:type="spellStart"/>
            <w:r w:rsidR="001E2510">
              <w:t>financiele</w:t>
            </w:r>
            <w:proofErr w:type="spellEnd"/>
            <w:r w:rsidR="001E2510">
              <w:t xml:space="preserve"> bijdrage van de provincie v</w:t>
            </w:r>
            <w:r w:rsidR="004A2504">
              <w:t>an 800.000 euro</w:t>
            </w:r>
            <w:r w:rsidR="001E2510">
              <w:t xml:space="preserve"> </w:t>
            </w:r>
            <w:r>
              <w:t xml:space="preserve">in 2020 </w:t>
            </w:r>
            <w:r w:rsidR="001E2510">
              <w:t>te verstrekken om Thialf te behoeden voor een faillissement</w:t>
            </w:r>
            <w:r>
              <w:t xml:space="preserve"> (te dekken uit het begrotingssaldo).</w:t>
            </w:r>
          </w:p>
          <w:p w14:paraId="25F1CA7F" w14:textId="77777777" w:rsidR="001E2510" w:rsidRDefault="001E2510" w:rsidP="001E2510">
            <w:pPr>
              <w:pStyle w:val="Lijstalinea"/>
              <w:ind w:left="1070"/>
            </w:pPr>
          </w:p>
          <w:p w14:paraId="34C24AE7" w14:textId="02B05586" w:rsidR="00831F9A" w:rsidRDefault="00CC0E7B" w:rsidP="00CC0E7B">
            <w:r>
              <w:t>2.</w:t>
            </w:r>
            <w:r w:rsidR="001E2510">
              <w:t xml:space="preserve">Voor 1 </w:t>
            </w:r>
            <w:r w:rsidR="004A2504">
              <w:t>november</w:t>
            </w:r>
            <w:r w:rsidR="001E2510">
              <w:t xml:space="preserve"> 2020 vervolgafspraken te maken over eventuele verdere financiering. Deze gesprekken over verdere financiering kunnen alleen plaatsvinden als voldaan is aan de volgende voorwaarden;</w:t>
            </w:r>
          </w:p>
          <w:p w14:paraId="1CC04395" w14:textId="77777777" w:rsidR="00831F9A" w:rsidRDefault="00831F9A" w:rsidP="00831F9A">
            <w:pPr>
              <w:pStyle w:val="Lijstalinea"/>
            </w:pPr>
          </w:p>
          <w:p w14:paraId="2AF29A7F" w14:textId="739CFD6A" w:rsidR="00831F9A" w:rsidRDefault="001E2510" w:rsidP="00831F9A">
            <w:pPr>
              <w:pStyle w:val="Lijstalinea"/>
              <w:ind w:left="1070"/>
            </w:pPr>
            <w:r>
              <w:t>-</w:t>
            </w:r>
            <w:r>
              <w:tab/>
              <w:t>Afspraken over een essentiële extra bijdrage van de KNSB en NOC/NSF</w:t>
            </w:r>
            <w:r w:rsidR="00831F9A">
              <w:t xml:space="preserve"> (en mogelijke anderen); </w:t>
            </w:r>
          </w:p>
          <w:p w14:paraId="1DE84C86" w14:textId="77777777" w:rsidR="00831F9A" w:rsidRDefault="00831F9A" w:rsidP="00831F9A">
            <w:pPr>
              <w:pStyle w:val="Lijstalinea"/>
              <w:ind w:left="1070"/>
            </w:pPr>
            <w:r>
              <w:t xml:space="preserve">- </w:t>
            </w:r>
            <w:r w:rsidR="001E2510">
              <w:t>Concreet zicht op een dekkende exploitatiebegroting;</w:t>
            </w:r>
          </w:p>
          <w:p w14:paraId="14E3F162" w14:textId="77777777" w:rsidR="00CC0E7B" w:rsidRDefault="00831F9A" w:rsidP="00CC0E7B">
            <w:pPr>
              <w:pStyle w:val="Lijstalinea"/>
              <w:ind w:left="1070"/>
            </w:pPr>
            <w:r>
              <w:t xml:space="preserve">- </w:t>
            </w:r>
            <w:r w:rsidR="001E2510">
              <w:t>Afspraken met derden, waaronder het Rijk, over een bijdrage aan de extra investeringen (zoals duurzame energieopwekking, licht- en geluidinstallatie, verbouw Noorderbocht</w:t>
            </w:r>
            <w:r>
              <w:t xml:space="preserve"> en de ijshockeyhal</w:t>
            </w:r>
            <w:r w:rsidR="001E2510">
              <w:t xml:space="preserve">) die nodig zijn om Thialf weer in goede conditie te krijgen om deze naam waar te </w:t>
            </w:r>
            <w:r>
              <w:t xml:space="preserve">kunnen </w:t>
            </w:r>
            <w:r w:rsidR="001E2510">
              <w:t>maken</w:t>
            </w:r>
            <w:r>
              <w:t>.</w:t>
            </w:r>
          </w:p>
          <w:p w14:paraId="02CB0A41" w14:textId="77777777" w:rsidR="00CC0E7B" w:rsidRDefault="00CC0E7B" w:rsidP="00CC0E7B">
            <w:pPr>
              <w:pStyle w:val="Lijstalinea"/>
              <w:ind w:left="1070"/>
            </w:pPr>
          </w:p>
          <w:p w14:paraId="74774FF8" w14:textId="07AFEAB0" w:rsidR="001E2510" w:rsidRDefault="001E2510" w:rsidP="00CC0E7B">
            <w:r>
              <w:t xml:space="preserve">3. De  </w:t>
            </w:r>
            <w:r w:rsidR="003F41D6">
              <w:t xml:space="preserve">concrete </w:t>
            </w:r>
            <w:r>
              <w:t xml:space="preserve">resultaten van de gesprekken over de financiering en exploitatie van Thialf worden daarna opnieuw </w:t>
            </w:r>
            <w:r w:rsidR="00CC0E7B">
              <w:t xml:space="preserve">ter besluitvorming </w:t>
            </w:r>
            <w:r>
              <w:t xml:space="preserve">aan de Staten voorgelegd. </w:t>
            </w:r>
          </w:p>
          <w:p w14:paraId="2A725F1D" w14:textId="00B7A50B" w:rsidR="002656CC" w:rsidRDefault="002656CC" w:rsidP="002656CC"/>
          <w:p w14:paraId="011D4C16" w14:textId="0F859E70" w:rsidR="00597741" w:rsidRDefault="00597741" w:rsidP="002656CC"/>
        </w:tc>
      </w:tr>
      <w:tr w:rsidR="00F16574" w14:paraId="011D4C1E" w14:textId="77777777" w:rsidTr="001E2510">
        <w:trPr>
          <w:trHeight w:val="370"/>
        </w:trPr>
        <w:tc>
          <w:tcPr>
            <w:tcW w:w="2014" w:type="dxa"/>
            <w:vMerge/>
          </w:tcPr>
          <w:p w14:paraId="011D4C18" w14:textId="77777777" w:rsidR="00F16574" w:rsidRDefault="00F16574"/>
        </w:tc>
        <w:tc>
          <w:tcPr>
            <w:tcW w:w="7048" w:type="dxa"/>
          </w:tcPr>
          <w:p w14:paraId="011D4C19" w14:textId="77777777" w:rsidR="00F16574" w:rsidRDefault="006D21D1">
            <w:r>
              <w:t>Toevoegen aan besluit:</w:t>
            </w:r>
          </w:p>
          <w:p w14:paraId="011D4C1B" w14:textId="77777777" w:rsidR="00F16574" w:rsidRDefault="00F16574"/>
          <w:p w14:paraId="011D4C1C" w14:textId="77777777" w:rsidR="00F16574" w:rsidRDefault="00F16574"/>
          <w:p w14:paraId="011D4C1D" w14:textId="77777777" w:rsidR="00F16574" w:rsidRDefault="00F16574"/>
        </w:tc>
      </w:tr>
    </w:tbl>
    <w:p w14:paraId="011D4C1F" w14:textId="77777777" w:rsidR="00F16574" w:rsidRDefault="00F16574"/>
    <w:tbl>
      <w:tblPr>
        <w:tblStyle w:val="Tabelraster"/>
        <w:tblW w:w="0" w:type="auto"/>
        <w:tblLook w:val="01E0" w:firstRow="1" w:lastRow="1" w:firstColumn="1" w:lastColumn="1" w:noHBand="0" w:noVBand="0"/>
      </w:tblPr>
      <w:tblGrid>
        <w:gridCol w:w="2629"/>
        <w:gridCol w:w="6433"/>
      </w:tblGrid>
      <w:tr w:rsidR="00A53813" w14:paraId="011D4C24" w14:textId="77777777" w:rsidTr="008B6F89">
        <w:tc>
          <w:tcPr>
            <w:tcW w:w="2660" w:type="dxa"/>
          </w:tcPr>
          <w:p w14:paraId="011D4C20" w14:textId="77777777" w:rsidR="00A53813" w:rsidRDefault="00A53813">
            <w:r>
              <w:t>Indiener(s)</w:t>
            </w:r>
          </w:p>
        </w:tc>
        <w:tc>
          <w:tcPr>
            <w:tcW w:w="6552" w:type="dxa"/>
          </w:tcPr>
          <w:p w14:paraId="7B9617A0" w14:textId="413FC869" w:rsidR="00C04975" w:rsidRDefault="00831F9A">
            <w:r>
              <w:t>Elsa van der Hoek                       GrienLinks</w:t>
            </w:r>
          </w:p>
          <w:p w14:paraId="46F83BBC" w14:textId="54666577" w:rsidR="009760E3" w:rsidRDefault="009760E3">
            <w:r>
              <w:t>Theun Wiersma                           50plus</w:t>
            </w:r>
          </w:p>
          <w:p w14:paraId="774F6948" w14:textId="3E699148" w:rsidR="009760E3" w:rsidRDefault="009760E3">
            <w:r>
              <w:t>Romke de Jong                           D66</w:t>
            </w:r>
          </w:p>
          <w:p w14:paraId="72F73A5D" w14:textId="06F1DD79" w:rsidR="00CC0E7B" w:rsidRDefault="00CC0E7B">
            <w:r>
              <w:t xml:space="preserve">Albert van Dijk                             </w:t>
            </w:r>
            <w:proofErr w:type="spellStart"/>
            <w:r>
              <w:t>FvD</w:t>
            </w:r>
            <w:proofErr w:type="spellEnd"/>
          </w:p>
          <w:p w14:paraId="07CA28DA" w14:textId="167CC79D" w:rsidR="00CC0E7B" w:rsidRDefault="00CC0E7B">
            <w:r>
              <w:t>Hanneke Goede                          SP</w:t>
            </w:r>
            <w:bookmarkStart w:id="0" w:name="_GoBack"/>
            <w:bookmarkEnd w:id="0"/>
          </w:p>
          <w:p w14:paraId="11CD5D57" w14:textId="77777777" w:rsidR="009760E3" w:rsidRDefault="009760E3"/>
          <w:p w14:paraId="011D4C23" w14:textId="4EED2AF7" w:rsidR="00D82873" w:rsidRDefault="00D82873"/>
        </w:tc>
      </w:tr>
    </w:tbl>
    <w:p w14:paraId="011D4C25" w14:textId="2E395BA7" w:rsidR="00D82873" w:rsidRDefault="00D82873"/>
    <w:p w14:paraId="74E271EC" w14:textId="4A1E52D0" w:rsidR="00A53813" w:rsidRDefault="00A53813"/>
    <w:sectPr w:rsidR="00A53813" w:rsidSect="00C7233A">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9781E" w14:textId="77777777" w:rsidR="00D45240" w:rsidRDefault="00D45240" w:rsidP="00D82873">
      <w:r>
        <w:separator/>
      </w:r>
    </w:p>
  </w:endnote>
  <w:endnote w:type="continuationSeparator" w:id="0">
    <w:p w14:paraId="3C3CFD63" w14:textId="77777777" w:rsidR="00D45240" w:rsidRDefault="00D45240" w:rsidP="00D8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C91FB" w14:textId="77777777" w:rsidR="000A53F2" w:rsidRDefault="000A53F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D32B" w14:textId="76DF521D" w:rsidR="00D82873" w:rsidRPr="000A53F2" w:rsidRDefault="00D82873" w:rsidP="001B66E8">
    <w:pPr>
      <w:jc w:val="right"/>
      <w:rPr>
        <w:b/>
        <w:sz w:val="28"/>
      </w:rPr>
    </w:pPr>
    <w:r w:rsidRPr="000A53F2">
      <w:rPr>
        <w:b/>
        <w:sz w:val="28"/>
      </w:rPr>
      <w:t>AMENDEMENT</w:t>
    </w:r>
  </w:p>
  <w:p w14:paraId="705E073C" w14:textId="4BD0FE24" w:rsidR="006B6FAC" w:rsidRPr="00D82873" w:rsidRDefault="001B66E8" w:rsidP="001B66E8">
    <w:pPr>
      <w:tabs>
        <w:tab w:val="left" w:pos="2923"/>
      </w:tabs>
      <w:jc w:val="right"/>
      <w:rPr>
        <w:b/>
      </w:rPr>
    </w:pPr>
    <w:r>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FF64" w14:textId="77777777" w:rsidR="000A53F2" w:rsidRDefault="000A53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9879F" w14:textId="77777777" w:rsidR="00D45240" w:rsidRDefault="00D45240" w:rsidP="00D82873">
      <w:r>
        <w:separator/>
      </w:r>
    </w:p>
  </w:footnote>
  <w:footnote w:type="continuationSeparator" w:id="0">
    <w:p w14:paraId="365B5B1B" w14:textId="77777777" w:rsidR="00D45240" w:rsidRDefault="00D45240" w:rsidP="00D82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F775F" w14:textId="77777777" w:rsidR="000A53F2" w:rsidRDefault="000A53F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2A25" w14:textId="709D4B74" w:rsidR="00D82873" w:rsidRPr="000A53F2" w:rsidRDefault="00D82873" w:rsidP="001B66E8">
    <w:pPr>
      <w:rPr>
        <w:b/>
        <w:sz w:val="28"/>
      </w:rPr>
    </w:pPr>
    <w:r w:rsidRPr="000A53F2">
      <w:rPr>
        <w:b/>
        <w:sz w:val="28"/>
      </w:rPr>
      <w:t>AMENDEMENT</w:t>
    </w:r>
  </w:p>
  <w:p w14:paraId="5D64961A" w14:textId="77777777" w:rsidR="006B6FAC" w:rsidRDefault="006B6FAC" w:rsidP="001B66E8">
    <w:pP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E633F" w14:textId="77777777" w:rsidR="000A53F2" w:rsidRDefault="000A53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389"/>
    <w:multiLevelType w:val="hybridMultilevel"/>
    <w:tmpl w:val="F8347010"/>
    <w:lvl w:ilvl="0" w:tplc="0413000F">
      <w:start w:val="4"/>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2A6008"/>
    <w:multiLevelType w:val="hybridMultilevel"/>
    <w:tmpl w:val="1FE63A4A"/>
    <w:lvl w:ilvl="0" w:tplc="4FB2B714">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8C5436"/>
    <w:multiLevelType w:val="hybridMultilevel"/>
    <w:tmpl w:val="9BE29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7D0266"/>
    <w:multiLevelType w:val="hybridMultilevel"/>
    <w:tmpl w:val="0C66E128"/>
    <w:lvl w:ilvl="0" w:tplc="47108844">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45"/>
    <w:rsid w:val="00003B0D"/>
    <w:rsid w:val="00006995"/>
    <w:rsid w:val="0002785A"/>
    <w:rsid w:val="00057BBD"/>
    <w:rsid w:val="0007016A"/>
    <w:rsid w:val="00083854"/>
    <w:rsid w:val="000A05E8"/>
    <w:rsid w:val="000A3E43"/>
    <w:rsid w:val="000A53F2"/>
    <w:rsid w:val="000B1EA4"/>
    <w:rsid w:val="000B6622"/>
    <w:rsid w:val="000B7176"/>
    <w:rsid w:val="000C2339"/>
    <w:rsid w:val="00113AC5"/>
    <w:rsid w:val="00115CAC"/>
    <w:rsid w:val="00116D45"/>
    <w:rsid w:val="0012361C"/>
    <w:rsid w:val="001273C9"/>
    <w:rsid w:val="00147720"/>
    <w:rsid w:val="001512D7"/>
    <w:rsid w:val="0015227F"/>
    <w:rsid w:val="00155CBE"/>
    <w:rsid w:val="00164B9B"/>
    <w:rsid w:val="00185772"/>
    <w:rsid w:val="001872C4"/>
    <w:rsid w:val="00192CB7"/>
    <w:rsid w:val="00195197"/>
    <w:rsid w:val="001A10EE"/>
    <w:rsid w:val="001A241F"/>
    <w:rsid w:val="001B5584"/>
    <w:rsid w:val="001B66E8"/>
    <w:rsid w:val="001D5101"/>
    <w:rsid w:val="001E2510"/>
    <w:rsid w:val="001E73B5"/>
    <w:rsid w:val="00202B83"/>
    <w:rsid w:val="00211109"/>
    <w:rsid w:val="00223CF2"/>
    <w:rsid w:val="00224D74"/>
    <w:rsid w:val="002342A0"/>
    <w:rsid w:val="00240B9A"/>
    <w:rsid w:val="00244892"/>
    <w:rsid w:val="00253192"/>
    <w:rsid w:val="00256C8D"/>
    <w:rsid w:val="00264D33"/>
    <w:rsid w:val="00264E1D"/>
    <w:rsid w:val="00265317"/>
    <w:rsid w:val="002656CC"/>
    <w:rsid w:val="00265B99"/>
    <w:rsid w:val="002678CB"/>
    <w:rsid w:val="002839F5"/>
    <w:rsid w:val="002853CE"/>
    <w:rsid w:val="002A6786"/>
    <w:rsid w:val="002C3D66"/>
    <w:rsid w:val="002C51C2"/>
    <w:rsid w:val="002E543B"/>
    <w:rsid w:val="00310D9C"/>
    <w:rsid w:val="00314021"/>
    <w:rsid w:val="00366CEF"/>
    <w:rsid w:val="003770CD"/>
    <w:rsid w:val="003842F3"/>
    <w:rsid w:val="003879D9"/>
    <w:rsid w:val="003B0A10"/>
    <w:rsid w:val="003C34B9"/>
    <w:rsid w:val="003D1963"/>
    <w:rsid w:val="003D2545"/>
    <w:rsid w:val="003E791B"/>
    <w:rsid w:val="003F41D6"/>
    <w:rsid w:val="00402DFA"/>
    <w:rsid w:val="00417F95"/>
    <w:rsid w:val="004217AB"/>
    <w:rsid w:val="00424469"/>
    <w:rsid w:val="004264A8"/>
    <w:rsid w:val="00431144"/>
    <w:rsid w:val="00431D9D"/>
    <w:rsid w:val="00454F4B"/>
    <w:rsid w:val="00467E94"/>
    <w:rsid w:val="0047244A"/>
    <w:rsid w:val="00473244"/>
    <w:rsid w:val="00483FD7"/>
    <w:rsid w:val="0049235D"/>
    <w:rsid w:val="004A2504"/>
    <w:rsid w:val="004A3C85"/>
    <w:rsid w:val="004C1DE2"/>
    <w:rsid w:val="004C4696"/>
    <w:rsid w:val="004D0E06"/>
    <w:rsid w:val="004D1D87"/>
    <w:rsid w:val="004E7C38"/>
    <w:rsid w:val="00502296"/>
    <w:rsid w:val="00502991"/>
    <w:rsid w:val="00527803"/>
    <w:rsid w:val="00530123"/>
    <w:rsid w:val="00531335"/>
    <w:rsid w:val="005324DA"/>
    <w:rsid w:val="005330DB"/>
    <w:rsid w:val="005372BA"/>
    <w:rsid w:val="00560455"/>
    <w:rsid w:val="00581210"/>
    <w:rsid w:val="0058237E"/>
    <w:rsid w:val="00597741"/>
    <w:rsid w:val="005C329E"/>
    <w:rsid w:val="005D53DD"/>
    <w:rsid w:val="005E060A"/>
    <w:rsid w:val="005E1B14"/>
    <w:rsid w:val="005F7036"/>
    <w:rsid w:val="006053EC"/>
    <w:rsid w:val="0061184E"/>
    <w:rsid w:val="00612F7C"/>
    <w:rsid w:val="0062204B"/>
    <w:rsid w:val="00634F7A"/>
    <w:rsid w:val="00641298"/>
    <w:rsid w:val="0064613F"/>
    <w:rsid w:val="00647573"/>
    <w:rsid w:val="00647B6D"/>
    <w:rsid w:val="006619DA"/>
    <w:rsid w:val="00663509"/>
    <w:rsid w:val="00663908"/>
    <w:rsid w:val="0067202E"/>
    <w:rsid w:val="006A5197"/>
    <w:rsid w:val="006B5265"/>
    <w:rsid w:val="006B6FAC"/>
    <w:rsid w:val="006B7ED1"/>
    <w:rsid w:val="006C35FA"/>
    <w:rsid w:val="006D21D1"/>
    <w:rsid w:val="006D45ED"/>
    <w:rsid w:val="006E5092"/>
    <w:rsid w:val="006F4A6E"/>
    <w:rsid w:val="00705B26"/>
    <w:rsid w:val="007166C4"/>
    <w:rsid w:val="00724453"/>
    <w:rsid w:val="007471C3"/>
    <w:rsid w:val="0075736F"/>
    <w:rsid w:val="00761292"/>
    <w:rsid w:val="00794D85"/>
    <w:rsid w:val="007C75AA"/>
    <w:rsid w:val="007E425E"/>
    <w:rsid w:val="00831F9A"/>
    <w:rsid w:val="008462A2"/>
    <w:rsid w:val="00852B3F"/>
    <w:rsid w:val="0085339F"/>
    <w:rsid w:val="00861580"/>
    <w:rsid w:val="00866C51"/>
    <w:rsid w:val="00871323"/>
    <w:rsid w:val="00871800"/>
    <w:rsid w:val="00896744"/>
    <w:rsid w:val="00896EEE"/>
    <w:rsid w:val="008A4225"/>
    <w:rsid w:val="008A4B3C"/>
    <w:rsid w:val="008B6F89"/>
    <w:rsid w:val="008C5F5B"/>
    <w:rsid w:val="008D25D4"/>
    <w:rsid w:val="008D34BE"/>
    <w:rsid w:val="008E4FDA"/>
    <w:rsid w:val="008F3060"/>
    <w:rsid w:val="008F628E"/>
    <w:rsid w:val="009058C0"/>
    <w:rsid w:val="009368F8"/>
    <w:rsid w:val="00943089"/>
    <w:rsid w:val="00944A35"/>
    <w:rsid w:val="009505B2"/>
    <w:rsid w:val="00966EBE"/>
    <w:rsid w:val="00973F81"/>
    <w:rsid w:val="009760E3"/>
    <w:rsid w:val="00993AE4"/>
    <w:rsid w:val="009A0C61"/>
    <w:rsid w:val="009A6541"/>
    <w:rsid w:val="009B40A1"/>
    <w:rsid w:val="009C36F1"/>
    <w:rsid w:val="009D167D"/>
    <w:rsid w:val="009D19E6"/>
    <w:rsid w:val="009D5144"/>
    <w:rsid w:val="009E08F7"/>
    <w:rsid w:val="00A03638"/>
    <w:rsid w:val="00A20AC5"/>
    <w:rsid w:val="00A22F2A"/>
    <w:rsid w:val="00A265CD"/>
    <w:rsid w:val="00A30D5F"/>
    <w:rsid w:val="00A32614"/>
    <w:rsid w:val="00A3583C"/>
    <w:rsid w:val="00A44ABA"/>
    <w:rsid w:val="00A53813"/>
    <w:rsid w:val="00A6315C"/>
    <w:rsid w:val="00A750F3"/>
    <w:rsid w:val="00AD5351"/>
    <w:rsid w:val="00AE4828"/>
    <w:rsid w:val="00B12874"/>
    <w:rsid w:val="00B25973"/>
    <w:rsid w:val="00B4597D"/>
    <w:rsid w:val="00B544C8"/>
    <w:rsid w:val="00B70ACD"/>
    <w:rsid w:val="00B71E3E"/>
    <w:rsid w:val="00B761C5"/>
    <w:rsid w:val="00B82526"/>
    <w:rsid w:val="00B82B67"/>
    <w:rsid w:val="00BA4986"/>
    <w:rsid w:val="00BB7062"/>
    <w:rsid w:val="00BC5F6D"/>
    <w:rsid w:val="00BE1AC6"/>
    <w:rsid w:val="00BE57CB"/>
    <w:rsid w:val="00BF3CAA"/>
    <w:rsid w:val="00BF6CF4"/>
    <w:rsid w:val="00C04975"/>
    <w:rsid w:val="00C211D3"/>
    <w:rsid w:val="00C36FB8"/>
    <w:rsid w:val="00C500E0"/>
    <w:rsid w:val="00C533CE"/>
    <w:rsid w:val="00C57188"/>
    <w:rsid w:val="00C578DA"/>
    <w:rsid w:val="00C61567"/>
    <w:rsid w:val="00C705B0"/>
    <w:rsid w:val="00C7233A"/>
    <w:rsid w:val="00C74F03"/>
    <w:rsid w:val="00C814EF"/>
    <w:rsid w:val="00C84E7E"/>
    <w:rsid w:val="00C91151"/>
    <w:rsid w:val="00CB583C"/>
    <w:rsid w:val="00CB6AFB"/>
    <w:rsid w:val="00CC0E7B"/>
    <w:rsid w:val="00CC5AC1"/>
    <w:rsid w:val="00CD3568"/>
    <w:rsid w:val="00CD47F8"/>
    <w:rsid w:val="00CD5DC1"/>
    <w:rsid w:val="00CE1A9C"/>
    <w:rsid w:val="00CE1DFE"/>
    <w:rsid w:val="00CF3954"/>
    <w:rsid w:val="00D002DA"/>
    <w:rsid w:val="00D144E1"/>
    <w:rsid w:val="00D211A7"/>
    <w:rsid w:val="00D354BF"/>
    <w:rsid w:val="00D45240"/>
    <w:rsid w:val="00D635CC"/>
    <w:rsid w:val="00D654BF"/>
    <w:rsid w:val="00D71108"/>
    <w:rsid w:val="00D7250E"/>
    <w:rsid w:val="00D743DB"/>
    <w:rsid w:val="00D76269"/>
    <w:rsid w:val="00D82873"/>
    <w:rsid w:val="00D8457D"/>
    <w:rsid w:val="00D91F4B"/>
    <w:rsid w:val="00D97EA8"/>
    <w:rsid w:val="00DA0F0D"/>
    <w:rsid w:val="00DA532E"/>
    <w:rsid w:val="00DB7B09"/>
    <w:rsid w:val="00DD6B8E"/>
    <w:rsid w:val="00DF375B"/>
    <w:rsid w:val="00DF601B"/>
    <w:rsid w:val="00E00E66"/>
    <w:rsid w:val="00E043A4"/>
    <w:rsid w:val="00E35D5B"/>
    <w:rsid w:val="00E41C5E"/>
    <w:rsid w:val="00E44745"/>
    <w:rsid w:val="00E6608D"/>
    <w:rsid w:val="00E76585"/>
    <w:rsid w:val="00E847F9"/>
    <w:rsid w:val="00E8770F"/>
    <w:rsid w:val="00E93C1D"/>
    <w:rsid w:val="00E9436D"/>
    <w:rsid w:val="00EA3A7D"/>
    <w:rsid w:val="00EA57BC"/>
    <w:rsid w:val="00EA5A94"/>
    <w:rsid w:val="00ED398B"/>
    <w:rsid w:val="00ED6B1D"/>
    <w:rsid w:val="00ED7F98"/>
    <w:rsid w:val="00F11F97"/>
    <w:rsid w:val="00F144C8"/>
    <w:rsid w:val="00F14B6E"/>
    <w:rsid w:val="00F16574"/>
    <w:rsid w:val="00F248C8"/>
    <w:rsid w:val="00F3707F"/>
    <w:rsid w:val="00F37908"/>
    <w:rsid w:val="00F40EAA"/>
    <w:rsid w:val="00F71D60"/>
    <w:rsid w:val="00F81B8E"/>
    <w:rsid w:val="00F823D5"/>
    <w:rsid w:val="00FA0CE3"/>
    <w:rsid w:val="00FA1608"/>
    <w:rsid w:val="00FB6967"/>
    <w:rsid w:val="00FC2D50"/>
    <w:rsid w:val="00FE5F72"/>
    <w:rsid w:val="00FE7C1D"/>
    <w:rsid w:val="00FF4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D4BD4"/>
  <w15:docId w15:val="{D2731436-51A3-4DFD-9BD8-8AB5BB4D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B40A1"/>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5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B6622"/>
    <w:rPr>
      <w:rFonts w:ascii="Tahoma" w:hAnsi="Tahoma" w:cs="Tahoma"/>
      <w:sz w:val="16"/>
      <w:szCs w:val="16"/>
    </w:rPr>
  </w:style>
  <w:style w:type="character" w:customStyle="1" w:styleId="BallontekstChar">
    <w:name w:val="Ballontekst Char"/>
    <w:basedOn w:val="Standaardalinea-lettertype"/>
    <w:link w:val="Ballontekst"/>
    <w:uiPriority w:val="99"/>
    <w:semiHidden/>
    <w:rsid w:val="000B6622"/>
    <w:rPr>
      <w:rFonts w:ascii="Tahoma" w:hAnsi="Tahoma" w:cs="Tahoma"/>
      <w:sz w:val="16"/>
      <w:szCs w:val="16"/>
    </w:rPr>
  </w:style>
  <w:style w:type="paragraph" w:styleId="Koptekst">
    <w:name w:val="header"/>
    <w:basedOn w:val="Standaard"/>
    <w:link w:val="KoptekstChar"/>
    <w:uiPriority w:val="99"/>
    <w:unhideWhenUsed/>
    <w:rsid w:val="00D82873"/>
    <w:pPr>
      <w:tabs>
        <w:tab w:val="center" w:pos="4536"/>
        <w:tab w:val="right" w:pos="9072"/>
      </w:tabs>
    </w:pPr>
  </w:style>
  <w:style w:type="character" w:customStyle="1" w:styleId="KoptekstChar">
    <w:name w:val="Koptekst Char"/>
    <w:basedOn w:val="Standaardalinea-lettertype"/>
    <w:link w:val="Koptekst"/>
    <w:uiPriority w:val="99"/>
    <w:rsid w:val="00D82873"/>
    <w:rPr>
      <w:rFonts w:ascii="Arial" w:hAnsi="Arial"/>
      <w:sz w:val="22"/>
      <w:szCs w:val="22"/>
    </w:rPr>
  </w:style>
  <w:style w:type="paragraph" w:styleId="Voettekst">
    <w:name w:val="footer"/>
    <w:basedOn w:val="Standaard"/>
    <w:link w:val="VoettekstChar"/>
    <w:uiPriority w:val="99"/>
    <w:unhideWhenUsed/>
    <w:rsid w:val="00D82873"/>
    <w:pPr>
      <w:tabs>
        <w:tab w:val="center" w:pos="4536"/>
        <w:tab w:val="right" w:pos="9072"/>
      </w:tabs>
    </w:pPr>
  </w:style>
  <w:style w:type="character" w:customStyle="1" w:styleId="VoettekstChar">
    <w:name w:val="Voettekst Char"/>
    <w:basedOn w:val="Standaardalinea-lettertype"/>
    <w:link w:val="Voettekst"/>
    <w:uiPriority w:val="99"/>
    <w:rsid w:val="00D82873"/>
    <w:rPr>
      <w:rFonts w:ascii="Arial" w:hAnsi="Arial"/>
      <w:sz w:val="22"/>
      <w:szCs w:val="22"/>
    </w:rPr>
  </w:style>
  <w:style w:type="paragraph" w:styleId="Lijstalinea">
    <w:name w:val="List Paragraph"/>
    <w:basedOn w:val="Standaard"/>
    <w:uiPriority w:val="34"/>
    <w:qFormat/>
    <w:rsid w:val="00A63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067FAD2AE6DD4E823FB1905E23319F" ma:contentTypeVersion="10" ma:contentTypeDescription="Een nieuw document maken." ma:contentTypeScope="" ma:versionID="deb0f132c6a08f02e4a58fb482c17e51">
  <xsd:schema xmlns:xsd="http://www.w3.org/2001/XMLSchema" xmlns:xs="http://www.w3.org/2001/XMLSchema" xmlns:p="http://schemas.microsoft.com/office/2006/metadata/properties" xmlns:ns3="f48e626a-677d-4cee-847b-0cdf82bfceab" targetNamespace="http://schemas.microsoft.com/office/2006/metadata/properties" ma:root="true" ma:fieldsID="80cc7c0e2604a11f7197dc40f8caac38" ns3:_="">
    <xsd:import namespace="f48e626a-677d-4cee-847b-0cdf82bfce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e626a-677d-4cee-847b-0cdf82bfc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34F2B-66BD-45F9-9E0D-9632EB665E13}">
  <ds:schemaRefs>
    <ds:schemaRef ds:uri="http://schemas.microsoft.com/office/2006/documentManagement/types"/>
    <ds:schemaRef ds:uri="http://purl.org/dc/terms/"/>
    <ds:schemaRef ds:uri="f48e626a-677d-4cee-847b-0cdf82bfceab"/>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4524550-4A58-4E8E-9B77-14EC77C25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e626a-677d-4cee-847b-0cdf82bf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6B71D-8C4B-40D8-B1EC-C5697F983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536</Words>
  <Characters>3215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In te vullen door de griffier</vt:lpstr>
    </vt:vector>
  </TitlesOfParts>
  <Company>Provinsje Fryslan</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 vullen door de griffier</dc:title>
  <dc:creator>user000</dc:creator>
  <cp:lastModifiedBy>Wees, Sanne van</cp:lastModifiedBy>
  <cp:revision>2</cp:revision>
  <cp:lastPrinted>2014-11-05T14:55:00Z</cp:lastPrinted>
  <dcterms:created xsi:type="dcterms:W3CDTF">2020-06-17T08:43:00Z</dcterms:created>
  <dcterms:modified xsi:type="dcterms:W3CDTF">2020-06-17T08:43:00Z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0x010100E6067FAD2AE6DD4E823FB1905E23319F</vt:lpwstr>
  </property>
  <property fmtid="{D5CDD505-2E9C-101B-9397-08002B2CF9AE}" pid="3" name="_dlc_DocIdItemGuid">
    <vt:lpwstr>479d5117-cf18-4d78-a4f1-969f7dfe8406</vt:lpwstr>
  </property>
</Properties>
</file>