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8C00" w14:textId="77777777" w:rsidR="00B3429F" w:rsidRDefault="00B3429F" w:rsidP="009F60A4">
      <w:pPr>
        <w:rPr>
          <w:rFonts w:asciiTheme="minorHAnsi" w:hAnsiTheme="minorHAnsi" w:cstheme="minorHAnsi"/>
          <w:sz w:val="24"/>
          <w:szCs w:val="24"/>
          <w:lang w:bidi="gu-IN"/>
        </w:rPr>
      </w:pPr>
    </w:p>
    <w:p w14:paraId="4133ECDD" w14:textId="77777777" w:rsidR="00B3429F" w:rsidRDefault="00B3429F" w:rsidP="009F60A4">
      <w:pPr>
        <w:rPr>
          <w:rFonts w:asciiTheme="minorHAnsi" w:hAnsiTheme="minorHAnsi" w:cstheme="minorHAnsi"/>
          <w:sz w:val="24"/>
          <w:szCs w:val="24"/>
          <w:lang w:bidi="gu-IN"/>
        </w:rPr>
      </w:pPr>
    </w:p>
    <w:p w14:paraId="67E5B4A6" w14:textId="6DC40CCD" w:rsidR="00B3429F" w:rsidRDefault="00B3429F" w:rsidP="009F60A4">
      <w:pPr>
        <w:rPr>
          <w:rFonts w:asciiTheme="minorHAnsi" w:hAnsiTheme="minorHAnsi" w:cstheme="minorHAnsi"/>
          <w:sz w:val="24"/>
          <w:szCs w:val="24"/>
          <w:lang w:bidi="gu-IN"/>
        </w:rPr>
      </w:pPr>
      <w:r>
        <w:rPr>
          <w:rFonts w:asciiTheme="minorHAnsi" w:hAnsiTheme="minorHAnsi" w:cstheme="minorHAnsi"/>
          <w:sz w:val="24"/>
          <w:szCs w:val="24"/>
          <w:lang w:bidi="gu-IN"/>
        </w:rPr>
        <w:t>Startnotitie woonplan</w:t>
      </w:r>
    </w:p>
    <w:p w14:paraId="5EF03FC0" w14:textId="0012AF8F"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Voorzitter,</w:t>
      </w:r>
    </w:p>
    <w:p w14:paraId="41CA8A15"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Allereerst wil GrienLinks aangeven dat dit op zichzelf een goede startnotitie is. Er wordt duidelijk omschreven welke rol de provincie voor zichzelf ziet binnen de volkshuisvesting en ook de voorgestelde inhoudsopgave van het Provinciaal Volkshuisvestingsprogramma laat de contouren zien van een uitgebreid en compleet programma.</w:t>
      </w:r>
    </w:p>
    <w:p w14:paraId="12201F99"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Toch heeft GrienLinks een aantal belangrijke opmerkingen en zorgen.</w:t>
      </w:r>
    </w:p>
    <w:p w14:paraId="7568ED7F"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In de startnotitie staat expliciet genoemd dat 30% van de nieuw te bouwen woningen sociale huur moet zijn. Dat vinden wij een belangrijk uitgangspunt. Tegelijkertijd lezen wij dat gemeenten in bepaalde gevallen mogelijk ontheffing kunnen krijgen van deze norm. Daarmee ontstaat voor ons direct de vraag: geeft de provincie hiermee niet alsnog ruimte aan gemeenten om minder betaalbare woningen te bouwen? Juist nu de druk op de woningmarkt enorm is en de wachtlijsten oplopen, moet betaalbaar wonen geen vrijblijvende ambitie zijn, maar een harde afspraak.</w:t>
      </w:r>
    </w:p>
    <w:p w14:paraId="556C14D3" w14:textId="088B073A"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Daarnaast wordt in de notitie een aantal doelgroepen benoemd die extra aandacht verdienen, waaronder woonwagenbewoners. De provincie ziet voor zichzelf hierbij een faciliterende en toezichthoudende rol. Maar als we eerlijk zijn moeten we constateren dat er in Fryslân al jarenlang veel te weinig standplaatsen zijn. Mensen staan soms meer dan tien jaar op een wachtlijst en krijgen onvoldoende ruimte om hun eigen woonwagen te plaatsen. Dat betekent dat deze doelgroep tot nu toe onvoldoende serieus is genomen en dat ook het toezicht vanuit de provincie tekortgeschoten is.</w:t>
      </w:r>
      <w:r w:rsidR="00B3429F" w:rsidRPr="00B3429F">
        <w:rPr>
          <w:rFonts w:asciiTheme="minorHAnsi" w:hAnsiTheme="minorHAnsi" w:cstheme="minorHAnsi"/>
          <w:sz w:val="24"/>
          <w:szCs w:val="24"/>
          <w:lang w:bidi="gu-IN"/>
        </w:rPr>
        <w:t xml:space="preserve"> We hebben het hier over cultureel erfgoed, over mensenrechten, een groep inwoners die onvoldoende aandacht en zeggenschap heeft.</w:t>
      </w:r>
    </w:p>
    <w:p w14:paraId="2E67CDE0"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GrienLinks wil daarom dat in het uiteindelijke beleidsplan expliciet wordt opgenomen welke afspraken er gemaakt worden over het aantal standplaatsen, aan welke voorwaarden deze moeten voldoen en hoe ervoor gezorgd wordt dat iedere gemeente hierin haar verantwoordelijkheid neemt.</w:t>
      </w:r>
    </w:p>
    <w:p w14:paraId="5F51E171"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Tot slot voorzitter.</w:t>
      </w:r>
    </w:p>
    <w:p w14:paraId="6342886F" w14:textId="1AF19E64"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 xml:space="preserve">Er wordt in de startnotitie terecht aandacht besteed aan duurzaamheid, </w:t>
      </w:r>
      <w:r w:rsidR="00B3429F" w:rsidRPr="00B3429F">
        <w:rPr>
          <w:rFonts w:asciiTheme="minorHAnsi" w:hAnsiTheme="minorHAnsi" w:cstheme="minorHAnsi"/>
          <w:sz w:val="24"/>
          <w:szCs w:val="24"/>
          <w:lang w:bidi="gu-IN"/>
        </w:rPr>
        <w:t>klimaat adaptief</w:t>
      </w:r>
      <w:r w:rsidRPr="00B3429F">
        <w:rPr>
          <w:rFonts w:asciiTheme="minorHAnsi" w:hAnsiTheme="minorHAnsi" w:cstheme="minorHAnsi"/>
          <w:sz w:val="24"/>
          <w:szCs w:val="24"/>
          <w:lang w:bidi="gu-IN"/>
        </w:rPr>
        <w:t xml:space="preserve"> bouwen en circulair bouwen. Maar tegelijkertijd lezen we dat extra kwaliteitsambities spanning kunnen opleveren met snelheid en betaalbaarheid en dat duurzaamheid geen extra vertraging of belemmering mag veroorzaken.</w:t>
      </w:r>
    </w:p>
    <w:p w14:paraId="0A79091B"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Dat vinden wij een zorgelijke formulering.</w:t>
      </w:r>
    </w:p>
    <w:p w14:paraId="605F112C"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We hebben namelijk ook duidelijke afspraken over klimaatbestendig bouwen. Juist nu kunnen we het ons niet veroorloven om duurzaamheid als vrijblijvende ambitie te behandelen. Op deze manier laat de provincie opnieuw ruimte open om op duurzaamheid af te wijken wanneer het lastig wordt.</w:t>
      </w:r>
    </w:p>
    <w:p w14:paraId="3A229FF3"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Voor GrienLinks is dat onacceptabel. Niet alleen vanuit milieuoogpunt, maar juist ook vanuit betaalbaarheid op de lange termijn. Slecht geïsoleerde of niet toekomstbestendige woningen zorgen uiteindelijk immers voor hogere lasten voor bewoners. Op dit moment kunnen we ook niet overzien hoeveel problemen we in de toekomst nog gaan ondervinden als gevolg van  klimaatschade en laat ons daar aub niet achter komen wanneer het te laat is en we een enorme bulk huizen hebben die daar onvoldoende bestendig voor zijn.</w:t>
      </w:r>
    </w:p>
    <w:p w14:paraId="5D5EF462" w14:textId="77777777" w:rsidR="009F60A4" w:rsidRPr="00B3429F" w:rsidRDefault="009F60A4" w:rsidP="009F60A4">
      <w:pPr>
        <w:rPr>
          <w:rFonts w:asciiTheme="minorHAnsi" w:hAnsiTheme="minorHAnsi" w:cstheme="minorHAnsi"/>
          <w:sz w:val="24"/>
          <w:szCs w:val="24"/>
          <w:lang w:bidi="gu-IN"/>
        </w:rPr>
      </w:pPr>
      <w:r w:rsidRPr="00B3429F">
        <w:rPr>
          <w:rFonts w:asciiTheme="minorHAnsi" w:hAnsiTheme="minorHAnsi" w:cstheme="minorHAnsi"/>
          <w:sz w:val="24"/>
          <w:szCs w:val="24"/>
          <w:lang w:bidi="gu-IN"/>
        </w:rPr>
        <w:t>Daarom zullen wij hierover een motie indienen.</w:t>
      </w:r>
    </w:p>
    <w:p w14:paraId="1ED23BE7" w14:textId="77777777" w:rsidR="009F60A4" w:rsidRPr="00B3429F" w:rsidRDefault="009F60A4" w:rsidP="009F60A4">
      <w:pPr>
        <w:rPr>
          <w:rFonts w:asciiTheme="minorHAnsi" w:hAnsiTheme="minorHAnsi" w:cstheme="minorHAnsi"/>
          <w:color w:val="000000" w:themeColor="text1"/>
          <w:sz w:val="24"/>
          <w:szCs w:val="24"/>
          <w:lang w:bidi="gu-IN"/>
        </w:rPr>
      </w:pPr>
      <w:r w:rsidRPr="00B3429F">
        <w:rPr>
          <w:rFonts w:asciiTheme="minorHAnsi" w:hAnsiTheme="minorHAnsi" w:cstheme="minorHAnsi"/>
          <w:sz w:val="24"/>
          <w:szCs w:val="24"/>
          <w:lang w:bidi="gu-IN"/>
        </w:rPr>
        <w:t xml:space="preserve">Daarnaast dienen wij een aparte motie in over het opnemen van </w:t>
      </w:r>
      <w:r w:rsidRPr="00B3429F">
        <w:rPr>
          <w:rFonts w:asciiTheme="minorHAnsi" w:hAnsiTheme="minorHAnsi" w:cstheme="minorHAnsi"/>
          <w:color w:val="000000" w:themeColor="text1"/>
          <w:sz w:val="24"/>
          <w:szCs w:val="24"/>
          <w:lang w:bidi="gu-IN"/>
        </w:rPr>
        <w:t>concreet beleid rondom woonwagenstandplaatsen.</w:t>
      </w:r>
    </w:p>
    <w:p w14:paraId="7D35DE7E" w14:textId="7949AF6C" w:rsidR="00B3429F" w:rsidRPr="00B3429F" w:rsidRDefault="00B3429F" w:rsidP="009F60A4">
      <w:pPr>
        <w:rPr>
          <w:rFonts w:asciiTheme="minorHAnsi" w:hAnsiTheme="minorHAnsi" w:cstheme="minorHAnsi"/>
          <w:sz w:val="24"/>
          <w:szCs w:val="24"/>
          <w:lang w:bidi="gu-IN"/>
        </w:rPr>
      </w:pPr>
      <w:r w:rsidRPr="00B3429F">
        <w:rPr>
          <w:rFonts w:asciiTheme="minorHAnsi" w:hAnsiTheme="minorHAnsi" w:cstheme="minorHAnsi"/>
          <w:color w:val="000000" w:themeColor="text1"/>
          <w:sz w:val="24"/>
          <w:szCs w:val="24"/>
          <w:lang w:bidi="gu-IN"/>
        </w:rPr>
        <w:t>We dienen daarnaast een aantal moties mee in en hopen hierdoor tot een mooi compleet beleid te komen.</w:t>
      </w:r>
    </w:p>
    <w:p w14:paraId="44FFE5F6" w14:textId="73CB7C7E" w:rsidR="00730041" w:rsidRPr="00B3429F" w:rsidRDefault="009F60A4" w:rsidP="009F60A4">
      <w:pPr>
        <w:rPr>
          <w:rFonts w:asciiTheme="minorHAnsi" w:hAnsiTheme="minorHAnsi" w:cstheme="minorHAnsi"/>
        </w:rPr>
      </w:pPr>
      <w:r w:rsidRPr="00B3429F">
        <w:rPr>
          <w:rFonts w:asciiTheme="minorHAnsi" w:hAnsiTheme="minorHAnsi" w:cstheme="minorHAnsi"/>
          <w:sz w:val="24"/>
          <w:szCs w:val="24"/>
          <w:lang w:bidi="gu-IN"/>
        </w:rPr>
        <w:t>Dank u wel.</w:t>
      </w:r>
    </w:p>
    <w:sectPr w:rsidR="00730041" w:rsidRPr="00B34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A4"/>
    <w:rsid w:val="00730041"/>
    <w:rsid w:val="009F60A4"/>
    <w:rsid w:val="00AC3C6B"/>
    <w:rsid w:val="00B3429F"/>
    <w:rsid w:val="00E22849"/>
  </w:rsids>
  <m:mathPr>
    <m:mathFont m:val="Cambria Math"/>
    <m:brkBin m:val="before"/>
    <m:brkBinSub m:val="--"/>
    <m:smallFrac m:val="0"/>
    <m:dispDef/>
    <m:lMargin m:val="0"/>
    <m:rMargin m:val="0"/>
    <m:defJc m:val="centerGroup"/>
    <m:wrapIndent m:val="1440"/>
    <m:intLim m:val="subSup"/>
    <m:naryLim m:val="undOvr"/>
  </m:mathPr>
  <w:themeFontLang w:val="nl-NL" w:bidi="gu-IN"/>
  <w:clrSchemeMapping w:bg1="light1" w:t1="dark1" w:bg2="light2" w:t2="dark2" w:accent1="accent1" w:accent2="accent2" w:accent3="accent3" w:accent4="accent4" w:accent5="accent5" w:accent6="accent6" w:hyperlink="hyperlink" w:followedHyperlink="followedHyperlink"/>
  <w:decimalSymbol w:val=","/>
  <w:listSeparator w:val=";"/>
  <w14:docId w14:val="39B1FE76"/>
  <w15:chartTrackingRefBased/>
  <w15:docId w15:val="{8C4CBE02-0401-41AA-A1D2-15523C8B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60A4"/>
    <w:pPr>
      <w:spacing w:before="100" w:beforeAutospacing="1" w:after="100" w:afterAutospacing="1" w:line="240" w:lineRule="auto"/>
    </w:pPr>
    <w:rPr>
      <w:rFonts w:eastAsia="Times New Roman" w:cs="Times New Roman"/>
      <w:kern w:val="0"/>
      <w:szCs w:val="20"/>
      <w:lang w:eastAsia="nl-NL"/>
      <w14:ligatures w14:val="none"/>
    </w:rPr>
  </w:style>
  <w:style w:type="paragraph" w:styleId="Kop1">
    <w:name w:val="heading 1"/>
    <w:basedOn w:val="Standaard"/>
    <w:next w:val="Standaard"/>
    <w:link w:val="Kop1Char"/>
    <w:uiPriority w:val="9"/>
    <w:qFormat/>
    <w:rsid w:val="009F60A4"/>
    <w:pPr>
      <w:keepNext/>
      <w:keepLines/>
      <w:spacing w:before="360" w:beforeAutospacing="0" w:after="80" w:afterAutospacing="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60A4"/>
    <w:pPr>
      <w:keepNext/>
      <w:keepLines/>
      <w:spacing w:before="160" w:beforeAutospacing="0" w:after="80" w:afterAutospacing="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60A4"/>
    <w:pPr>
      <w:keepNext/>
      <w:keepLines/>
      <w:spacing w:before="160" w:beforeAutospacing="0" w:after="80" w:afterAutospacing="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60A4"/>
    <w:pPr>
      <w:keepNext/>
      <w:keepLines/>
      <w:spacing w:before="80" w:beforeAutospacing="0" w:after="40" w:afterAutospacing="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9F60A4"/>
    <w:pPr>
      <w:keepNext/>
      <w:keepLines/>
      <w:spacing w:before="80" w:beforeAutospacing="0" w:after="40" w:afterAutospacing="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9F60A4"/>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9F60A4"/>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9F60A4"/>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9F60A4"/>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0A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F60A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F60A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F60A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F60A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F60A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F60A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F60A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F60A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F60A4"/>
    <w:pPr>
      <w:spacing w:before="0" w:beforeAutospacing="0" w:after="80" w:afterAutospacing="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60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0A4"/>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60A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F60A4"/>
    <w:pPr>
      <w:spacing w:before="160" w:beforeAutospacing="0" w:after="160" w:afterAutospacing="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9F60A4"/>
    <w:rPr>
      <w:i/>
      <w:iCs/>
      <w:color w:val="404040" w:themeColor="text1" w:themeTint="BF"/>
    </w:rPr>
  </w:style>
  <w:style w:type="paragraph" w:styleId="Lijstalinea">
    <w:name w:val="List Paragraph"/>
    <w:basedOn w:val="Standaard"/>
    <w:uiPriority w:val="34"/>
    <w:qFormat/>
    <w:rsid w:val="009F60A4"/>
    <w:pPr>
      <w:spacing w:before="0" w:beforeAutospacing="0" w:after="160" w:afterAutospacing="0" w:line="259" w:lineRule="auto"/>
      <w:ind w:left="720"/>
      <w:contextualSpacing/>
    </w:pPr>
    <w:rPr>
      <w:rFonts w:eastAsiaTheme="minorHAnsi" w:cstheme="minorBidi"/>
      <w:kern w:val="2"/>
      <w:szCs w:val="22"/>
      <w:lang w:eastAsia="en-US"/>
      <w14:ligatures w14:val="standardContextual"/>
    </w:rPr>
  </w:style>
  <w:style w:type="character" w:styleId="Intensievebenadrukking">
    <w:name w:val="Intense Emphasis"/>
    <w:basedOn w:val="Standaardalinea-lettertype"/>
    <w:uiPriority w:val="21"/>
    <w:qFormat/>
    <w:rsid w:val="009F60A4"/>
    <w:rPr>
      <w:i/>
      <w:iCs/>
      <w:color w:val="2E74B5" w:themeColor="accent1" w:themeShade="BF"/>
    </w:rPr>
  </w:style>
  <w:style w:type="paragraph" w:styleId="Duidelijkcitaat">
    <w:name w:val="Intense Quote"/>
    <w:basedOn w:val="Standaard"/>
    <w:next w:val="Standaard"/>
    <w:link w:val="DuidelijkcitaatChar"/>
    <w:uiPriority w:val="30"/>
    <w:qFormat/>
    <w:rsid w:val="009F60A4"/>
    <w:pPr>
      <w:pBdr>
        <w:top w:val="single" w:sz="4" w:space="10" w:color="2E74B5" w:themeColor="accent1" w:themeShade="BF"/>
        <w:bottom w:val="single" w:sz="4" w:space="10" w:color="2E74B5" w:themeColor="accent1" w:themeShade="BF"/>
      </w:pBdr>
      <w:spacing w:before="360" w:beforeAutospacing="0" w:after="360" w:afterAutospacing="0" w:line="259" w:lineRule="auto"/>
      <w:ind w:left="864" w:right="864"/>
      <w:jc w:val="center"/>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9F60A4"/>
    <w:rPr>
      <w:i/>
      <w:iCs/>
      <w:color w:val="2E74B5" w:themeColor="accent1" w:themeShade="BF"/>
    </w:rPr>
  </w:style>
  <w:style w:type="character" w:styleId="Intensieveverwijzing">
    <w:name w:val="Intense Reference"/>
    <w:basedOn w:val="Standaardalinea-lettertype"/>
    <w:uiPriority w:val="32"/>
    <w:qFormat/>
    <w:rsid w:val="009F60A4"/>
    <w:rPr>
      <w:b/>
      <w:bCs/>
      <w:smallCaps/>
      <w:color w:val="2E74B5" w:themeColor="accent1" w:themeShade="BF"/>
      <w:spacing w:val="5"/>
    </w:rPr>
  </w:style>
  <w:style w:type="table" w:styleId="Tabelraster">
    <w:name w:val="Table Grid"/>
    <w:basedOn w:val="Standaardtabel"/>
    <w:rsid w:val="009F60A4"/>
    <w:pPr>
      <w:spacing w:beforeAutospacing="1" w:after="0" w:afterAutospacing="1"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2889</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 Elsa van der</dc:creator>
  <cp:keywords/>
  <dc:description/>
  <cp:lastModifiedBy/>
  <cp:revision>1</cp:revision>
  <dcterms:created xsi:type="dcterms:W3CDTF">2026-05-26T17:45:00Z</dcterms:created>
</cp:coreProperties>
</file>