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3735"/>
        <w:gridCol w:w="1112"/>
        <w:gridCol w:w="1694"/>
        <w:gridCol w:w="2531"/>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rsidRPr="00BA7A20" w14:paraId="5BC78A55" w14:textId="77777777" w:rsidTr="00010CF5">
        <w:tc>
          <w:tcPr>
            <w:tcW w:w="3794" w:type="dxa"/>
            <w:tcBorders>
              <w:top w:val="nil"/>
              <w:left w:val="nil"/>
              <w:bottom w:val="single" w:sz="4" w:space="0" w:color="auto"/>
              <w:right w:val="nil"/>
            </w:tcBorders>
          </w:tcPr>
          <w:p w14:paraId="29590899" w14:textId="77777777" w:rsidR="00D82873" w:rsidRPr="00BA7A20" w:rsidRDefault="00D82873" w:rsidP="00010CF5">
            <w:pPr>
              <w:rPr>
                <w:rFonts w:cs="Arial"/>
              </w:rPr>
            </w:pPr>
          </w:p>
        </w:tc>
        <w:tc>
          <w:tcPr>
            <w:tcW w:w="1134" w:type="dxa"/>
            <w:tcBorders>
              <w:top w:val="nil"/>
              <w:left w:val="nil"/>
              <w:bottom w:val="nil"/>
              <w:right w:val="nil"/>
            </w:tcBorders>
          </w:tcPr>
          <w:p w14:paraId="57AB9858" w14:textId="77777777" w:rsidR="00D82873" w:rsidRPr="00BA7A20" w:rsidRDefault="00D82873" w:rsidP="00010CF5">
            <w:pPr>
              <w:rPr>
                <w:rFonts w:cs="Arial"/>
              </w:rPr>
            </w:pPr>
          </w:p>
        </w:tc>
        <w:tc>
          <w:tcPr>
            <w:tcW w:w="1701" w:type="dxa"/>
            <w:tcBorders>
              <w:top w:val="nil"/>
              <w:left w:val="nil"/>
              <w:right w:val="nil"/>
            </w:tcBorders>
          </w:tcPr>
          <w:p w14:paraId="6D003BBC" w14:textId="77777777" w:rsidR="00D82873" w:rsidRPr="00BA7A20" w:rsidRDefault="00D82873" w:rsidP="00010CF5">
            <w:pPr>
              <w:rPr>
                <w:rFonts w:cs="Arial"/>
              </w:rPr>
            </w:pPr>
          </w:p>
        </w:tc>
        <w:tc>
          <w:tcPr>
            <w:tcW w:w="2583" w:type="dxa"/>
            <w:tcBorders>
              <w:top w:val="nil"/>
              <w:left w:val="nil"/>
              <w:right w:val="nil"/>
            </w:tcBorders>
          </w:tcPr>
          <w:p w14:paraId="3D009E59" w14:textId="77777777" w:rsidR="00D82873" w:rsidRPr="00BA7A20" w:rsidRDefault="00D82873" w:rsidP="00010CF5">
            <w:pPr>
              <w:rPr>
                <w:rFonts w:cs="Arial"/>
              </w:rPr>
            </w:pPr>
          </w:p>
        </w:tc>
      </w:tr>
      <w:tr w:rsidR="00D82873" w:rsidRPr="00BA7A20" w14:paraId="237B9932" w14:textId="77777777" w:rsidTr="00010CF5">
        <w:tc>
          <w:tcPr>
            <w:tcW w:w="3794" w:type="dxa"/>
            <w:vMerge w:val="restart"/>
            <w:tcBorders>
              <w:top w:val="single" w:sz="4" w:space="0" w:color="auto"/>
            </w:tcBorders>
          </w:tcPr>
          <w:p w14:paraId="1112BC18" w14:textId="77777777" w:rsidR="00D82873" w:rsidRPr="00BA7A20" w:rsidRDefault="00D82873" w:rsidP="00010CF5">
            <w:pPr>
              <w:rPr>
                <w:rFonts w:cs="Arial"/>
              </w:rPr>
            </w:pPr>
            <w:r w:rsidRPr="00BA7A20">
              <w:rPr>
                <w:rFonts w:cs="Arial"/>
              </w:rPr>
              <w:t>Indiener:</w:t>
            </w:r>
          </w:p>
          <w:p w14:paraId="16C696B3" w14:textId="12E99925" w:rsidR="00D82873" w:rsidRPr="00BA7A20" w:rsidRDefault="003310D8" w:rsidP="00010CF5">
            <w:pPr>
              <w:rPr>
                <w:rFonts w:cs="Arial"/>
              </w:rPr>
            </w:pPr>
            <w:r w:rsidRPr="00BA7A20">
              <w:rPr>
                <w:rFonts w:cs="Arial"/>
              </w:rPr>
              <w:t>GrienLinks, Jochem Knol</w:t>
            </w:r>
          </w:p>
          <w:p w14:paraId="5B900A6C" w14:textId="77777777" w:rsidR="00D82873" w:rsidRPr="00BA7A20" w:rsidRDefault="00D82873" w:rsidP="00010CF5">
            <w:pPr>
              <w:rPr>
                <w:rFonts w:cs="Arial"/>
              </w:rPr>
            </w:pPr>
          </w:p>
          <w:p w14:paraId="3FECB052" w14:textId="77777777" w:rsidR="00D82873" w:rsidRPr="00BA7A20" w:rsidRDefault="00D82873" w:rsidP="00010CF5">
            <w:pPr>
              <w:rPr>
                <w:rFonts w:cs="Arial"/>
              </w:rPr>
            </w:pPr>
            <w:r w:rsidRPr="00BA7A20">
              <w:rPr>
                <w:rFonts w:cs="Arial"/>
              </w:rPr>
              <w:t>Mede-indiener(s):</w:t>
            </w:r>
          </w:p>
          <w:p w14:paraId="76350085" w14:textId="77777777" w:rsidR="00D82873" w:rsidRPr="00BA7A20" w:rsidRDefault="00D82873" w:rsidP="00010CF5">
            <w:pPr>
              <w:rPr>
                <w:rFonts w:cs="Arial"/>
              </w:rPr>
            </w:pPr>
          </w:p>
          <w:p w14:paraId="6A61DA23" w14:textId="77777777" w:rsidR="00D82873" w:rsidRPr="00BA7A20" w:rsidRDefault="00D82873" w:rsidP="00010CF5">
            <w:pPr>
              <w:rPr>
                <w:rFonts w:cs="Arial"/>
              </w:rPr>
            </w:pPr>
          </w:p>
          <w:p w14:paraId="46FA593D" w14:textId="77777777" w:rsidR="00D82873" w:rsidRPr="00BA7A20" w:rsidRDefault="00D82873" w:rsidP="00010CF5">
            <w:pPr>
              <w:rPr>
                <w:rFonts w:cs="Arial"/>
              </w:rPr>
            </w:pPr>
          </w:p>
          <w:p w14:paraId="0D3E61EA" w14:textId="77777777" w:rsidR="00D82873" w:rsidRPr="00BA7A20" w:rsidRDefault="00D82873" w:rsidP="00010CF5">
            <w:pPr>
              <w:rPr>
                <w:rFonts w:cs="Arial"/>
              </w:rPr>
            </w:pPr>
          </w:p>
          <w:p w14:paraId="2D3EFEF0" w14:textId="77777777" w:rsidR="00D82873" w:rsidRPr="00BA7A20" w:rsidRDefault="00D82873" w:rsidP="00010CF5">
            <w:pPr>
              <w:rPr>
                <w:rFonts w:cs="Arial"/>
              </w:rPr>
            </w:pPr>
          </w:p>
          <w:p w14:paraId="72C84818" w14:textId="77777777" w:rsidR="00D82873" w:rsidRPr="00BA7A20" w:rsidRDefault="00D82873" w:rsidP="00010CF5">
            <w:pPr>
              <w:rPr>
                <w:rFonts w:cs="Arial"/>
              </w:rPr>
            </w:pPr>
          </w:p>
          <w:p w14:paraId="428F32F3" w14:textId="4815436B" w:rsidR="00D82873" w:rsidRPr="00BA7A20" w:rsidRDefault="00D82873" w:rsidP="00010CF5">
            <w:pPr>
              <w:rPr>
                <w:rFonts w:cs="Arial"/>
              </w:rPr>
            </w:pPr>
          </w:p>
        </w:tc>
        <w:tc>
          <w:tcPr>
            <w:tcW w:w="1134" w:type="dxa"/>
            <w:tcBorders>
              <w:top w:val="nil"/>
              <w:bottom w:val="nil"/>
            </w:tcBorders>
          </w:tcPr>
          <w:p w14:paraId="0AA27C22" w14:textId="77777777" w:rsidR="00D82873" w:rsidRPr="00BA7A20" w:rsidRDefault="00D82873" w:rsidP="00010CF5">
            <w:pPr>
              <w:rPr>
                <w:rFonts w:cs="Arial"/>
              </w:rPr>
            </w:pPr>
          </w:p>
        </w:tc>
        <w:tc>
          <w:tcPr>
            <w:tcW w:w="1701" w:type="dxa"/>
          </w:tcPr>
          <w:p w14:paraId="1680CE64" w14:textId="29CD2049" w:rsidR="00D82873" w:rsidRPr="00BA7A20" w:rsidRDefault="00E50855" w:rsidP="00010CF5">
            <w:pPr>
              <w:rPr>
                <w:rFonts w:cs="Arial"/>
              </w:rPr>
            </w:pPr>
            <w:r w:rsidRPr="00BA7A20">
              <w:rPr>
                <w:rFonts w:cs="Arial"/>
              </w:rPr>
              <w:t>Motie</w:t>
            </w:r>
            <w:r w:rsidR="00D82873" w:rsidRPr="00BA7A20">
              <w:rPr>
                <w:rFonts w:cs="Arial"/>
              </w:rPr>
              <w:t xml:space="preserve"> nr.</w:t>
            </w:r>
          </w:p>
          <w:p w14:paraId="667A81FB" w14:textId="77777777" w:rsidR="00D82873" w:rsidRPr="00BA7A20" w:rsidRDefault="00D82873" w:rsidP="00010CF5">
            <w:pPr>
              <w:rPr>
                <w:rFonts w:cs="Arial"/>
              </w:rPr>
            </w:pPr>
          </w:p>
        </w:tc>
        <w:tc>
          <w:tcPr>
            <w:tcW w:w="2583" w:type="dxa"/>
          </w:tcPr>
          <w:p w14:paraId="04D9681B" w14:textId="77777777" w:rsidR="00D82873" w:rsidRPr="00BA7A20" w:rsidRDefault="00D82873" w:rsidP="00010CF5">
            <w:pPr>
              <w:rPr>
                <w:rFonts w:cs="Arial"/>
              </w:rPr>
            </w:pPr>
          </w:p>
        </w:tc>
      </w:tr>
      <w:tr w:rsidR="00D82873" w:rsidRPr="00BA7A20" w14:paraId="4AF43E05" w14:textId="77777777" w:rsidTr="00010CF5">
        <w:tc>
          <w:tcPr>
            <w:tcW w:w="3794" w:type="dxa"/>
            <w:vMerge/>
          </w:tcPr>
          <w:p w14:paraId="57B0CE48" w14:textId="77777777" w:rsidR="00D82873" w:rsidRPr="00BA7A20" w:rsidRDefault="00D82873" w:rsidP="00010CF5">
            <w:pPr>
              <w:rPr>
                <w:rFonts w:cs="Arial"/>
              </w:rPr>
            </w:pPr>
          </w:p>
        </w:tc>
        <w:tc>
          <w:tcPr>
            <w:tcW w:w="1134" w:type="dxa"/>
            <w:tcBorders>
              <w:top w:val="nil"/>
              <w:bottom w:val="nil"/>
            </w:tcBorders>
          </w:tcPr>
          <w:p w14:paraId="34E6860F" w14:textId="77777777" w:rsidR="00D82873" w:rsidRPr="00BA7A20" w:rsidRDefault="00D82873" w:rsidP="00010CF5">
            <w:pPr>
              <w:rPr>
                <w:rFonts w:cs="Arial"/>
              </w:rPr>
            </w:pPr>
          </w:p>
        </w:tc>
        <w:tc>
          <w:tcPr>
            <w:tcW w:w="1701" w:type="dxa"/>
          </w:tcPr>
          <w:p w14:paraId="0AB1C87E" w14:textId="77777777" w:rsidR="00D82873" w:rsidRPr="00BA7A20" w:rsidRDefault="00D82873" w:rsidP="00010CF5">
            <w:pPr>
              <w:rPr>
                <w:rFonts w:cs="Arial"/>
              </w:rPr>
            </w:pPr>
            <w:r w:rsidRPr="00BA7A20">
              <w:rPr>
                <w:rFonts w:cs="Arial"/>
              </w:rPr>
              <w:t>Paraaf</w:t>
            </w:r>
          </w:p>
          <w:p w14:paraId="6165317C" w14:textId="77777777" w:rsidR="00D82873" w:rsidRPr="00BA7A20" w:rsidRDefault="00D82873" w:rsidP="00010CF5">
            <w:pPr>
              <w:rPr>
                <w:rFonts w:cs="Arial"/>
              </w:rPr>
            </w:pPr>
          </w:p>
          <w:p w14:paraId="0228463B" w14:textId="77777777" w:rsidR="00D82873" w:rsidRPr="00BA7A20" w:rsidRDefault="00D82873" w:rsidP="00010CF5">
            <w:pPr>
              <w:rPr>
                <w:rFonts w:cs="Arial"/>
              </w:rPr>
            </w:pPr>
          </w:p>
        </w:tc>
        <w:tc>
          <w:tcPr>
            <w:tcW w:w="2583" w:type="dxa"/>
          </w:tcPr>
          <w:p w14:paraId="5E1AF34A" w14:textId="77777777" w:rsidR="00D82873" w:rsidRPr="00BA7A20" w:rsidRDefault="00D82873" w:rsidP="00010CF5">
            <w:pPr>
              <w:rPr>
                <w:rFonts w:cs="Arial"/>
              </w:rPr>
            </w:pPr>
          </w:p>
        </w:tc>
      </w:tr>
      <w:tr w:rsidR="00D82873" w:rsidRPr="00BA7A20" w14:paraId="15B2038B" w14:textId="77777777" w:rsidTr="00010CF5">
        <w:tc>
          <w:tcPr>
            <w:tcW w:w="3794" w:type="dxa"/>
            <w:vMerge/>
          </w:tcPr>
          <w:p w14:paraId="16FC1205" w14:textId="77777777" w:rsidR="00D82873" w:rsidRPr="00BA7A20" w:rsidRDefault="00D82873" w:rsidP="00010CF5">
            <w:pPr>
              <w:rPr>
                <w:rFonts w:cs="Arial"/>
              </w:rPr>
            </w:pPr>
          </w:p>
        </w:tc>
        <w:tc>
          <w:tcPr>
            <w:tcW w:w="1134" w:type="dxa"/>
            <w:tcBorders>
              <w:top w:val="nil"/>
              <w:bottom w:val="nil"/>
            </w:tcBorders>
          </w:tcPr>
          <w:p w14:paraId="5F4C193D" w14:textId="77777777" w:rsidR="00D82873" w:rsidRPr="00BA7A20" w:rsidRDefault="00D82873" w:rsidP="00010CF5">
            <w:pPr>
              <w:rPr>
                <w:rFonts w:cs="Arial"/>
              </w:rPr>
            </w:pPr>
          </w:p>
        </w:tc>
        <w:tc>
          <w:tcPr>
            <w:tcW w:w="1701" w:type="dxa"/>
          </w:tcPr>
          <w:p w14:paraId="057127AF" w14:textId="77777777" w:rsidR="00D82873" w:rsidRPr="00BA7A20" w:rsidRDefault="00D82873" w:rsidP="00010CF5">
            <w:pPr>
              <w:rPr>
                <w:rFonts w:cs="Arial"/>
              </w:rPr>
            </w:pPr>
            <w:r w:rsidRPr="00BA7A20">
              <w:rPr>
                <w:rFonts w:cs="Arial"/>
              </w:rPr>
              <w:t>Agendapunt</w:t>
            </w:r>
          </w:p>
          <w:p w14:paraId="610C14FA" w14:textId="77777777" w:rsidR="00D82873" w:rsidRPr="00BA7A20" w:rsidRDefault="00D82873" w:rsidP="00010CF5">
            <w:pPr>
              <w:rPr>
                <w:rFonts w:cs="Arial"/>
              </w:rPr>
            </w:pPr>
          </w:p>
          <w:p w14:paraId="278DA1B3" w14:textId="77777777" w:rsidR="00D82873" w:rsidRPr="00BA7A20" w:rsidRDefault="00D82873" w:rsidP="00010CF5">
            <w:pPr>
              <w:rPr>
                <w:rFonts w:cs="Arial"/>
              </w:rPr>
            </w:pPr>
          </w:p>
        </w:tc>
        <w:tc>
          <w:tcPr>
            <w:tcW w:w="2583" w:type="dxa"/>
          </w:tcPr>
          <w:p w14:paraId="7F81128F" w14:textId="22AE8599" w:rsidR="00D82873" w:rsidRPr="00BA7A20" w:rsidRDefault="003310D8" w:rsidP="00010CF5">
            <w:pPr>
              <w:rPr>
                <w:rFonts w:cs="Arial"/>
              </w:rPr>
            </w:pPr>
            <w:r w:rsidRPr="00BA7A20">
              <w:rPr>
                <w:rFonts w:cs="Arial"/>
              </w:rPr>
              <w:t>9</w:t>
            </w:r>
            <w:r w:rsidR="004731A0" w:rsidRPr="00BA7A20">
              <w:rPr>
                <w:rFonts w:cs="Arial"/>
              </w:rPr>
              <w:t>.</w:t>
            </w:r>
          </w:p>
        </w:tc>
      </w:tr>
      <w:tr w:rsidR="00D82873" w:rsidRPr="00BA7A20" w14:paraId="6C00FE12" w14:textId="77777777" w:rsidTr="00010CF5">
        <w:tc>
          <w:tcPr>
            <w:tcW w:w="3794" w:type="dxa"/>
            <w:vMerge/>
          </w:tcPr>
          <w:p w14:paraId="693EAE41" w14:textId="77777777" w:rsidR="00D82873" w:rsidRPr="00BA7A20" w:rsidRDefault="00D82873" w:rsidP="00010CF5">
            <w:pPr>
              <w:rPr>
                <w:rFonts w:cs="Arial"/>
              </w:rPr>
            </w:pPr>
          </w:p>
        </w:tc>
        <w:tc>
          <w:tcPr>
            <w:tcW w:w="1134" w:type="dxa"/>
            <w:tcBorders>
              <w:top w:val="nil"/>
              <w:bottom w:val="nil"/>
            </w:tcBorders>
          </w:tcPr>
          <w:p w14:paraId="24AFEDC0" w14:textId="77777777" w:rsidR="00D82873" w:rsidRPr="00BA7A20" w:rsidRDefault="00D82873" w:rsidP="00010CF5">
            <w:pPr>
              <w:rPr>
                <w:rFonts w:cs="Arial"/>
              </w:rPr>
            </w:pPr>
          </w:p>
        </w:tc>
        <w:tc>
          <w:tcPr>
            <w:tcW w:w="1701" w:type="dxa"/>
          </w:tcPr>
          <w:p w14:paraId="0C409514" w14:textId="77777777" w:rsidR="00D82873" w:rsidRPr="00BA7A20" w:rsidRDefault="00D82873" w:rsidP="00010CF5">
            <w:pPr>
              <w:rPr>
                <w:rFonts w:cs="Arial"/>
              </w:rPr>
            </w:pPr>
            <w:r w:rsidRPr="00BA7A20">
              <w:rPr>
                <w:rFonts w:cs="Arial"/>
              </w:rPr>
              <w:t>Besluit</w:t>
            </w:r>
          </w:p>
          <w:p w14:paraId="24A3C7D4" w14:textId="77777777" w:rsidR="00D82873" w:rsidRPr="00BA7A20" w:rsidRDefault="00D82873" w:rsidP="00010CF5">
            <w:pPr>
              <w:rPr>
                <w:rFonts w:cs="Arial"/>
              </w:rPr>
            </w:pPr>
          </w:p>
          <w:p w14:paraId="3A35E642" w14:textId="77777777" w:rsidR="00D82873" w:rsidRPr="00BA7A20" w:rsidRDefault="00D82873" w:rsidP="00010CF5">
            <w:pPr>
              <w:rPr>
                <w:rFonts w:cs="Arial"/>
              </w:rPr>
            </w:pPr>
          </w:p>
        </w:tc>
        <w:tc>
          <w:tcPr>
            <w:tcW w:w="2583" w:type="dxa"/>
          </w:tcPr>
          <w:p w14:paraId="40CF4E70" w14:textId="77777777" w:rsidR="00D82873" w:rsidRPr="00BA7A20" w:rsidRDefault="00D82873" w:rsidP="00010CF5">
            <w:pPr>
              <w:rPr>
                <w:rFonts w:cs="Arial"/>
              </w:rPr>
            </w:pPr>
          </w:p>
        </w:tc>
      </w:tr>
    </w:tbl>
    <w:p w14:paraId="011D4BE5" w14:textId="6623E6A6" w:rsidR="00A53813" w:rsidRPr="00BA7A20" w:rsidRDefault="00A53813">
      <w:pPr>
        <w:rPr>
          <w:rFonts w:cs="Arial"/>
        </w:rPr>
      </w:pPr>
    </w:p>
    <w:tbl>
      <w:tblPr>
        <w:tblStyle w:val="Tabelraster"/>
        <w:tblW w:w="0" w:type="auto"/>
        <w:tblLook w:val="01E0" w:firstRow="1" w:lastRow="1" w:firstColumn="1" w:lastColumn="1" w:noHBand="0" w:noVBand="0"/>
      </w:tblPr>
      <w:tblGrid>
        <w:gridCol w:w="9062"/>
      </w:tblGrid>
      <w:tr w:rsidR="006B6FAC" w:rsidRPr="00BA7A20" w14:paraId="26A9960D" w14:textId="77777777" w:rsidTr="00010CF5">
        <w:tc>
          <w:tcPr>
            <w:tcW w:w="9212" w:type="dxa"/>
          </w:tcPr>
          <w:p w14:paraId="12B436DE" w14:textId="7220090C" w:rsidR="006B6FAC" w:rsidRPr="00BA7A20" w:rsidRDefault="00E50855" w:rsidP="00010CF5">
            <w:pPr>
              <w:rPr>
                <w:rFonts w:cs="Arial"/>
                <w:b/>
              </w:rPr>
            </w:pPr>
            <w:r w:rsidRPr="00BA7A20">
              <w:rPr>
                <w:rFonts w:cs="Arial"/>
                <w:b/>
              </w:rPr>
              <w:t>MOTIE, ex artikel 3</w:t>
            </w:r>
            <w:r w:rsidR="00101C33" w:rsidRPr="00BA7A20">
              <w:rPr>
                <w:rFonts w:cs="Arial"/>
                <w:b/>
              </w:rPr>
              <w:t>1</w:t>
            </w:r>
            <w:r w:rsidRPr="00BA7A20">
              <w:rPr>
                <w:rFonts w:cs="Arial"/>
                <w:b/>
              </w:rPr>
              <w:t xml:space="preserve"> Reglement van orde</w:t>
            </w:r>
          </w:p>
        </w:tc>
      </w:tr>
    </w:tbl>
    <w:p w14:paraId="52EE3B6D" w14:textId="77777777" w:rsidR="006B6FAC" w:rsidRPr="00BA7A20" w:rsidRDefault="006B6FAC" w:rsidP="006B6FAC">
      <w:pPr>
        <w:rPr>
          <w:rFonts w:cs="Arial"/>
        </w:rPr>
      </w:pPr>
    </w:p>
    <w:tbl>
      <w:tblPr>
        <w:tblStyle w:val="Tabelraster"/>
        <w:tblW w:w="0" w:type="auto"/>
        <w:tblLook w:val="01E0" w:firstRow="1" w:lastRow="1" w:firstColumn="1" w:lastColumn="1" w:noHBand="0" w:noVBand="0"/>
      </w:tblPr>
      <w:tblGrid>
        <w:gridCol w:w="3479"/>
        <w:gridCol w:w="5583"/>
      </w:tblGrid>
      <w:tr w:rsidR="00E50855" w:rsidRPr="00BA7A20" w14:paraId="25C20CD1" w14:textId="77777777" w:rsidTr="00010CF5">
        <w:tc>
          <w:tcPr>
            <w:tcW w:w="3528" w:type="dxa"/>
          </w:tcPr>
          <w:p w14:paraId="631330A2" w14:textId="77777777" w:rsidR="00E50855" w:rsidRPr="00BA7A20" w:rsidRDefault="00E50855" w:rsidP="00010CF5">
            <w:pPr>
              <w:rPr>
                <w:rFonts w:cs="Arial"/>
              </w:rPr>
            </w:pPr>
            <w:r w:rsidRPr="00BA7A20">
              <w:rPr>
                <w:rFonts w:cs="Arial"/>
              </w:rPr>
              <w:t>Statenvergadering</w:t>
            </w:r>
          </w:p>
          <w:p w14:paraId="723D9BC7" w14:textId="77777777" w:rsidR="00E50855" w:rsidRPr="00BA7A20" w:rsidRDefault="00E50855" w:rsidP="00010CF5">
            <w:pPr>
              <w:rPr>
                <w:rFonts w:cs="Arial"/>
              </w:rPr>
            </w:pPr>
          </w:p>
        </w:tc>
        <w:tc>
          <w:tcPr>
            <w:tcW w:w="5684" w:type="dxa"/>
          </w:tcPr>
          <w:p w14:paraId="408E14D5" w14:textId="4C8643EB" w:rsidR="00E50855" w:rsidRPr="00BA7A20" w:rsidRDefault="003310D8" w:rsidP="00010CF5">
            <w:pPr>
              <w:rPr>
                <w:rFonts w:cs="Arial"/>
              </w:rPr>
            </w:pPr>
            <w:r w:rsidRPr="00BA7A20">
              <w:rPr>
                <w:rFonts w:cs="Arial"/>
              </w:rPr>
              <w:t>26 november 2025</w:t>
            </w:r>
          </w:p>
        </w:tc>
      </w:tr>
      <w:tr w:rsidR="00E50855" w:rsidRPr="00BA7A20" w14:paraId="469BBF21" w14:textId="77777777" w:rsidTr="00010CF5">
        <w:tc>
          <w:tcPr>
            <w:tcW w:w="3528" w:type="dxa"/>
          </w:tcPr>
          <w:p w14:paraId="207274CF" w14:textId="77777777" w:rsidR="00E50855" w:rsidRPr="00BA7A20" w:rsidRDefault="00E50855" w:rsidP="00010CF5">
            <w:pPr>
              <w:rPr>
                <w:rFonts w:cs="Arial"/>
              </w:rPr>
            </w:pPr>
            <w:r w:rsidRPr="00BA7A20">
              <w:rPr>
                <w:rFonts w:cs="Arial"/>
              </w:rPr>
              <w:t>Agendapunt</w:t>
            </w:r>
          </w:p>
          <w:p w14:paraId="61F7FC98" w14:textId="77777777" w:rsidR="00E50855" w:rsidRPr="00BA7A20" w:rsidRDefault="00E50855" w:rsidP="00010CF5">
            <w:pPr>
              <w:rPr>
                <w:rFonts w:cs="Arial"/>
              </w:rPr>
            </w:pPr>
          </w:p>
        </w:tc>
        <w:tc>
          <w:tcPr>
            <w:tcW w:w="5684" w:type="dxa"/>
          </w:tcPr>
          <w:p w14:paraId="01A2336E" w14:textId="0C8CD4F2" w:rsidR="00E50855" w:rsidRPr="00BA7A20" w:rsidRDefault="003310D8" w:rsidP="00010CF5">
            <w:pPr>
              <w:rPr>
                <w:rFonts w:cs="Arial"/>
              </w:rPr>
            </w:pPr>
            <w:r w:rsidRPr="00BA7A20">
              <w:rPr>
                <w:rFonts w:cs="Arial"/>
              </w:rPr>
              <w:t>9</w:t>
            </w:r>
            <w:r w:rsidR="00616DCB" w:rsidRPr="00BA7A20">
              <w:rPr>
                <w:rFonts w:cs="Arial"/>
              </w:rPr>
              <w:t>.</w:t>
            </w:r>
            <w:r w:rsidRPr="00BA7A20">
              <w:rPr>
                <w:rFonts w:cs="Arial"/>
              </w:rPr>
              <w:t xml:space="preserve"> </w:t>
            </w:r>
            <w:r w:rsidR="00616DCB" w:rsidRPr="00BA7A20">
              <w:rPr>
                <w:rFonts w:cs="Arial"/>
              </w:rPr>
              <w:t>Rapport van de Noordelijke Rekenkamer: ‘Af-en-toezicht: Een onderzoek naar de energiebesparingsplicht bij bedrijven onder gemeentelijk en provinciaal toezicht’</w:t>
            </w:r>
          </w:p>
        </w:tc>
      </w:tr>
      <w:tr w:rsidR="00E50855" w:rsidRPr="00BA7A20" w14:paraId="5AD23036" w14:textId="77777777" w:rsidTr="00010CF5">
        <w:tc>
          <w:tcPr>
            <w:tcW w:w="3528" w:type="dxa"/>
          </w:tcPr>
          <w:p w14:paraId="6000295B" w14:textId="77777777" w:rsidR="00E50855" w:rsidRPr="00BA7A20" w:rsidRDefault="00E50855" w:rsidP="00010CF5">
            <w:pPr>
              <w:rPr>
                <w:rFonts w:cs="Arial"/>
              </w:rPr>
            </w:pPr>
            <w:r w:rsidRPr="00BA7A20">
              <w:rPr>
                <w:rFonts w:cs="Arial"/>
              </w:rPr>
              <w:t>Korte titel motie</w:t>
            </w:r>
          </w:p>
          <w:p w14:paraId="013F8199" w14:textId="77777777" w:rsidR="00E50855" w:rsidRPr="00BA7A20" w:rsidRDefault="00E50855" w:rsidP="00010CF5">
            <w:pPr>
              <w:rPr>
                <w:rFonts w:cs="Arial"/>
              </w:rPr>
            </w:pPr>
          </w:p>
        </w:tc>
        <w:tc>
          <w:tcPr>
            <w:tcW w:w="5684" w:type="dxa"/>
          </w:tcPr>
          <w:p w14:paraId="7C5B6F85" w14:textId="67883E3C" w:rsidR="00E50855" w:rsidRPr="008E0935" w:rsidRDefault="008E0935" w:rsidP="00010CF5">
            <w:pPr>
              <w:rPr>
                <w:rFonts w:cs="Arial"/>
                <w:sz w:val="24"/>
                <w:szCs w:val="24"/>
              </w:rPr>
            </w:pPr>
            <w:r w:rsidRPr="008E0935">
              <w:rPr>
                <w:rFonts w:cs="Arial"/>
                <w:sz w:val="24"/>
                <w:szCs w:val="24"/>
              </w:rPr>
              <w:t xml:space="preserve">Meiwurkje Fryslân oan ûndersiken </w:t>
            </w:r>
            <w:r w:rsidR="003310D8" w:rsidRPr="008E0935">
              <w:rPr>
                <w:rFonts w:cs="Arial"/>
                <w:sz w:val="24"/>
                <w:szCs w:val="24"/>
              </w:rPr>
              <w:t>N</w:t>
            </w:r>
            <w:r w:rsidR="007D3DAC" w:rsidRPr="008E0935">
              <w:rPr>
                <w:rFonts w:cs="Arial"/>
                <w:sz w:val="24"/>
                <w:szCs w:val="24"/>
              </w:rPr>
              <w:t>RK</w:t>
            </w:r>
          </w:p>
        </w:tc>
      </w:tr>
      <w:tr w:rsidR="00E50855" w:rsidRPr="00BA7A20" w14:paraId="0CF1D12A" w14:textId="77777777" w:rsidTr="00010CF5">
        <w:tc>
          <w:tcPr>
            <w:tcW w:w="9212" w:type="dxa"/>
            <w:gridSpan w:val="2"/>
          </w:tcPr>
          <w:p w14:paraId="4C906667" w14:textId="0878D122" w:rsidR="00E50855" w:rsidRPr="00BA7A20" w:rsidRDefault="00E50855" w:rsidP="00010CF5">
            <w:pPr>
              <w:rPr>
                <w:rFonts w:cs="Arial"/>
              </w:rPr>
            </w:pPr>
            <w:r w:rsidRPr="00BA7A20">
              <w:rPr>
                <w:rFonts w:cs="Arial"/>
              </w:rPr>
              <w:t>De Staten, in vergadering bijeen op</w:t>
            </w:r>
            <w:r w:rsidR="003310D8" w:rsidRPr="00BA7A20">
              <w:rPr>
                <w:rFonts w:cs="Arial"/>
              </w:rPr>
              <w:t xml:space="preserve"> 26 november 2025</w:t>
            </w:r>
          </w:p>
          <w:p w14:paraId="638119E3" w14:textId="77777777" w:rsidR="00E50855" w:rsidRPr="00BA7A20" w:rsidRDefault="00E50855" w:rsidP="00010CF5">
            <w:pPr>
              <w:rPr>
                <w:rFonts w:cs="Arial"/>
              </w:rPr>
            </w:pPr>
          </w:p>
          <w:p w14:paraId="6ACAFAA5" w14:textId="1DFBC4BE" w:rsidR="00E50855" w:rsidRPr="00BA7A20" w:rsidRDefault="00E50855" w:rsidP="00010CF5">
            <w:pPr>
              <w:rPr>
                <w:rFonts w:cs="Arial"/>
              </w:rPr>
            </w:pPr>
            <w:r w:rsidRPr="00BA7A20">
              <w:rPr>
                <w:rFonts w:cs="Arial"/>
              </w:rPr>
              <w:t>constaterende dat</w:t>
            </w:r>
            <w:r w:rsidR="003310D8" w:rsidRPr="00BA7A20">
              <w:rPr>
                <w:rFonts w:cs="Arial"/>
              </w:rPr>
              <w:t>:</w:t>
            </w:r>
          </w:p>
          <w:p w14:paraId="3FD4F3F1" w14:textId="66BE963C" w:rsidR="003310D8" w:rsidRPr="00BA7A20" w:rsidRDefault="003310D8" w:rsidP="003310D8">
            <w:pPr>
              <w:pStyle w:val="Lijstalinea"/>
              <w:numPr>
                <w:ilvl w:val="0"/>
                <w:numId w:val="1"/>
              </w:numPr>
              <w:rPr>
                <w:rFonts w:cs="Arial"/>
              </w:rPr>
            </w:pPr>
            <w:r w:rsidRPr="00BA7A20">
              <w:rPr>
                <w:rFonts w:cs="Arial"/>
              </w:rPr>
              <w:t>de</w:t>
            </w:r>
            <w:r w:rsidRPr="00BA7A20">
              <w:rPr>
                <w:rFonts w:cs="Arial"/>
                <w:color w:val="333333"/>
                <w:shd w:val="clear" w:color="auto" w:fill="FFFFFF"/>
              </w:rPr>
              <w:t xml:space="preserve"> Provinciewet voorschrijft dat de rekenkamer onderzoek doet naar de doelmatigheid, doeltreffendheid en rechtmatigheid van het door de provincie gevoerde beleid. De rekenkamer heeft een onafhankelijke positie. Met haar onderzoek ondersteunt de rekenkamer Provinciale Staten en de provinciale democratie</w:t>
            </w:r>
            <w:r w:rsidR="00616DCB" w:rsidRPr="00BA7A20">
              <w:rPr>
                <w:rFonts w:cs="Arial"/>
                <w:color w:val="333333"/>
                <w:shd w:val="clear" w:color="auto" w:fill="FFFFFF"/>
              </w:rPr>
              <w:t>;</w:t>
            </w:r>
          </w:p>
          <w:p w14:paraId="6E215ED8" w14:textId="2E025206" w:rsidR="00616DCB" w:rsidRPr="00BA7A20" w:rsidRDefault="003310D8" w:rsidP="00616DCB">
            <w:pPr>
              <w:pStyle w:val="Lijstalinea"/>
              <w:numPr>
                <w:ilvl w:val="0"/>
                <w:numId w:val="1"/>
              </w:numPr>
              <w:rPr>
                <w:rFonts w:cs="Arial"/>
              </w:rPr>
            </w:pPr>
            <w:r w:rsidRPr="00BA7A20">
              <w:rPr>
                <w:rFonts w:cs="Arial"/>
              </w:rPr>
              <w:t>bij het onderzoek naar de Energiebesparingsplicht bij bedrijven onde</w:t>
            </w:r>
            <w:r w:rsidR="00616DCB" w:rsidRPr="00BA7A20">
              <w:rPr>
                <w:rFonts w:cs="Arial"/>
              </w:rPr>
              <w:t>r</w:t>
            </w:r>
            <w:r w:rsidRPr="00BA7A20">
              <w:rPr>
                <w:rFonts w:cs="Arial"/>
              </w:rPr>
              <w:t xml:space="preserve"> provinciaal en gemeentelijk toezicht een a</w:t>
            </w:r>
            <w:r w:rsidR="00616DCB" w:rsidRPr="00BA7A20">
              <w:rPr>
                <w:rFonts w:cs="Arial"/>
              </w:rPr>
              <w:t>an</w:t>
            </w:r>
            <w:r w:rsidRPr="00BA7A20">
              <w:rPr>
                <w:rFonts w:cs="Arial"/>
              </w:rPr>
              <w:t>tal gemeenten in Frysl</w:t>
            </w:r>
            <w:r w:rsidR="00616DCB" w:rsidRPr="00BA7A20">
              <w:rPr>
                <w:rFonts w:cs="Arial"/>
              </w:rPr>
              <w:t>â</w:t>
            </w:r>
            <w:r w:rsidRPr="00BA7A20">
              <w:rPr>
                <w:rFonts w:cs="Arial"/>
              </w:rPr>
              <w:t xml:space="preserve">n </w:t>
            </w:r>
            <w:r w:rsidR="00616DCB" w:rsidRPr="00BA7A20">
              <w:rPr>
                <w:rFonts w:cs="Arial"/>
              </w:rPr>
              <w:t>geweigerd – zonder opgave va</w:t>
            </w:r>
            <w:r w:rsidR="004731A0" w:rsidRPr="00BA7A20">
              <w:rPr>
                <w:rFonts w:cs="Arial"/>
              </w:rPr>
              <w:t xml:space="preserve">n </w:t>
            </w:r>
            <w:r w:rsidR="00616DCB" w:rsidRPr="00BA7A20">
              <w:rPr>
                <w:rFonts w:cs="Arial"/>
              </w:rPr>
              <w:t xml:space="preserve">redenen – de gevraagde informatie aan de Noordelijke Rekenkamer te verstrekken; </w:t>
            </w:r>
          </w:p>
          <w:p w14:paraId="07FE7C56" w14:textId="58F39E15" w:rsidR="00E50855" w:rsidRPr="00BA7A20" w:rsidRDefault="00E50855" w:rsidP="00010CF5">
            <w:pPr>
              <w:rPr>
                <w:rFonts w:cs="Arial"/>
              </w:rPr>
            </w:pPr>
          </w:p>
          <w:p w14:paraId="6EB99FFE" w14:textId="699D2373" w:rsidR="00E50855" w:rsidRPr="00BA7A20" w:rsidRDefault="00E50855" w:rsidP="00010CF5">
            <w:pPr>
              <w:rPr>
                <w:rFonts w:cs="Arial"/>
              </w:rPr>
            </w:pPr>
            <w:r w:rsidRPr="00BA7A20">
              <w:rPr>
                <w:rFonts w:cs="Arial"/>
              </w:rPr>
              <w:t>overwegende dat</w:t>
            </w:r>
            <w:r w:rsidR="003310D8" w:rsidRPr="00BA7A20">
              <w:rPr>
                <w:rFonts w:cs="Arial"/>
              </w:rPr>
              <w:t>:</w:t>
            </w:r>
          </w:p>
          <w:p w14:paraId="623BC58A" w14:textId="35C0DAD3" w:rsidR="00E50855" w:rsidRPr="00BA7A20" w:rsidRDefault="004731A0" w:rsidP="003310D8">
            <w:pPr>
              <w:pStyle w:val="Lijstalinea"/>
              <w:numPr>
                <w:ilvl w:val="0"/>
                <w:numId w:val="2"/>
              </w:numPr>
              <w:rPr>
                <w:rFonts w:cs="Arial"/>
              </w:rPr>
            </w:pPr>
            <w:r w:rsidRPr="00BA7A20">
              <w:rPr>
                <w:rFonts w:cs="Arial"/>
              </w:rPr>
              <w:t xml:space="preserve">onderhavige </w:t>
            </w:r>
            <w:r w:rsidR="003310D8" w:rsidRPr="00BA7A20">
              <w:rPr>
                <w:rFonts w:cs="Arial"/>
              </w:rPr>
              <w:t>onderzoek door de NRK bijdraagt aan</w:t>
            </w:r>
            <w:r w:rsidR="00D5331A" w:rsidRPr="00BA7A20">
              <w:rPr>
                <w:rFonts w:cs="Arial"/>
              </w:rPr>
              <w:t xml:space="preserve"> beter inzicht in hoe de Energiebesparingsplicht wordt nageleefd en hoe dit kan worden verbeterd;</w:t>
            </w:r>
          </w:p>
          <w:p w14:paraId="24683DA9" w14:textId="10A2318F" w:rsidR="00D5331A" w:rsidRPr="00BA7A20" w:rsidRDefault="00D5331A" w:rsidP="003310D8">
            <w:pPr>
              <w:pStyle w:val="Lijstalinea"/>
              <w:numPr>
                <w:ilvl w:val="0"/>
                <w:numId w:val="2"/>
              </w:numPr>
              <w:rPr>
                <w:rFonts w:cs="Arial"/>
              </w:rPr>
            </w:pPr>
            <w:r w:rsidRPr="00BA7A20">
              <w:rPr>
                <w:rFonts w:cs="Arial"/>
              </w:rPr>
              <w:t>hiermee een stimulerende bijdrage kan worden geleverd aan energiebesparing en da</w:t>
            </w:r>
            <w:r w:rsidR="00616DCB" w:rsidRPr="00BA7A20">
              <w:rPr>
                <w:rFonts w:cs="Arial"/>
              </w:rPr>
              <w:t>ar</w:t>
            </w:r>
            <w:r w:rsidRPr="00BA7A20">
              <w:rPr>
                <w:rFonts w:cs="Arial"/>
              </w:rPr>
              <w:t>mee aan het verhelpen van knelpunten</w:t>
            </w:r>
            <w:r w:rsidR="004731A0" w:rsidRPr="00BA7A20">
              <w:rPr>
                <w:rFonts w:cs="Arial"/>
              </w:rPr>
              <w:t>,</w:t>
            </w:r>
            <w:r w:rsidRPr="00BA7A20">
              <w:rPr>
                <w:rFonts w:cs="Arial"/>
              </w:rPr>
              <w:t xml:space="preserve"> in bijvoorbeeld de netcongestie (wat bespaard wordt, hoe ook niet opgewekt te worden)</w:t>
            </w:r>
            <w:r w:rsidR="004731A0" w:rsidRPr="00BA7A20">
              <w:rPr>
                <w:rFonts w:cs="Arial"/>
              </w:rPr>
              <w:t>;</w:t>
            </w:r>
          </w:p>
          <w:p w14:paraId="2A161920" w14:textId="173CB422" w:rsidR="00E50855" w:rsidRPr="00BA7A20" w:rsidRDefault="00D5331A" w:rsidP="00010CF5">
            <w:pPr>
              <w:pStyle w:val="Lijstalinea"/>
              <w:numPr>
                <w:ilvl w:val="0"/>
                <w:numId w:val="2"/>
              </w:numPr>
              <w:rPr>
                <w:rFonts w:cs="Arial"/>
              </w:rPr>
            </w:pPr>
            <w:r w:rsidRPr="00BA7A20">
              <w:rPr>
                <w:rFonts w:cs="Arial"/>
              </w:rPr>
              <w:t xml:space="preserve">van </w:t>
            </w:r>
            <w:r w:rsidR="004731A0" w:rsidRPr="00BA7A20">
              <w:rPr>
                <w:rFonts w:cs="Arial"/>
              </w:rPr>
              <w:t xml:space="preserve">de Friese </w:t>
            </w:r>
            <w:r w:rsidRPr="00BA7A20">
              <w:rPr>
                <w:rFonts w:cs="Arial"/>
              </w:rPr>
              <w:t xml:space="preserve">gemeenten </w:t>
            </w:r>
            <w:r w:rsidR="00CC4949" w:rsidRPr="00BA7A20">
              <w:rPr>
                <w:rFonts w:cs="Arial"/>
              </w:rPr>
              <w:t xml:space="preserve">en provincie </w:t>
            </w:r>
            <w:r w:rsidR="004731A0" w:rsidRPr="00BA7A20">
              <w:rPr>
                <w:rFonts w:cs="Arial"/>
              </w:rPr>
              <w:t xml:space="preserve">Fryslân </w:t>
            </w:r>
            <w:r w:rsidRPr="00BA7A20">
              <w:rPr>
                <w:rFonts w:cs="Arial"/>
              </w:rPr>
              <w:t>verwacht mag worden dat er een positieve grondhouding is bij het aanlev</w:t>
            </w:r>
            <w:r w:rsidR="00616DCB" w:rsidRPr="00BA7A20">
              <w:rPr>
                <w:rFonts w:cs="Arial"/>
              </w:rPr>
              <w:t>e</w:t>
            </w:r>
            <w:r w:rsidR="00CC4949" w:rsidRPr="00BA7A20">
              <w:rPr>
                <w:rFonts w:cs="Arial"/>
              </w:rPr>
              <w:t>ren</w:t>
            </w:r>
            <w:r w:rsidRPr="00BA7A20">
              <w:rPr>
                <w:rFonts w:cs="Arial"/>
              </w:rPr>
              <w:t xml:space="preserve"> van gegevens voor gemeentelijke en de </w:t>
            </w:r>
            <w:r w:rsidR="004731A0" w:rsidRPr="00BA7A20">
              <w:rPr>
                <w:rFonts w:cs="Arial"/>
              </w:rPr>
              <w:t xml:space="preserve">Noordelijke </w:t>
            </w:r>
            <w:r w:rsidRPr="00BA7A20">
              <w:rPr>
                <w:rFonts w:cs="Arial"/>
              </w:rPr>
              <w:t>Rekenkamers</w:t>
            </w:r>
            <w:r w:rsidR="004731A0" w:rsidRPr="00BA7A20">
              <w:rPr>
                <w:rFonts w:cs="Arial"/>
              </w:rPr>
              <w:t xml:space="preserve">, </w:t>
            </w:r>
            <w:r w:rsidRPr="00BA7A20">
              <w:rPr>
                <w:rFonts w:cs="Arial"/>
              </w:rPr>
              <w:t xml:space="preserve">en </w:t>
            </w:r>
            <w:r w:rsidR="004731A0" w:rsidRPr="00BA7A20">
              <w:rPr>
                <w:rFonts w:cs="Arial"/>
              </w:rPr>
              <w:t>indien</w:t>
            </w:r>
            <w:r w:rsidRPr="00BA7A20">
              <w:rPr>
                <w:rFonts w:cs="Arial"/>
              </w:rPr>
              <w:t xml:space="preserve"> hieraan niet tegemoet kan worden dit weloverwogen </w:t>
            </w:r>
            <w:r w:rsidR="00CC4949" w:rsidRPr="00BA7A20">
              <w:rPr>
                <w:rFonts w:cs="Arial"/>
              </w:rPr>
              <w:t>zal moeten worden</w:t>
            </w:r>
            <w:r w:rsidRPr="00BA7A20">
              <w:rPr>
                <w:rFonts w:cs="Arial"/>
              </w:rPr>
              <w:t xml:space="preserve"> gemotiveerd. </w:t>
            </w:r>
          </w:p>
          <w:p w14:paraId="2CCE99DF" w14:textId="77777777" w:rsidR="00E50855" w:rsidRPr="00BA7A20" w:rsidRDefault="00E50855" w:rsidP="00010CF5">
            <w:pPr>
              <w:rPr>
                <w:rFonts w:cs="Arial"/>
              </w:rPr>
            </w:pPr>
          </w:p>
        </w:tc>
      </w:tr>
      <w:tr w:rsidR="00E50855" w:rsidRPr="00BA7A20" w14:paraId="13146AAE" w14:textId="77777777" w:rsidTr="00010CF5">
        <w:tc>
          <w:tcPr>
            <w:tcW w:w="9212" w:type="dxa"/>
            <w:gridSpan w:val="2"/>
          </w:tcPr>
          <w:p w14:paraId="33F1E0DF" w14:textId="07888B0F" w:rsidR="00E50855" w:rsidRPr="00BA7A20" w:rsidRDefault="004731A0" w:rsidP="00010CF5">
            <w:pPr>
              <w:rPr>
                <w:rFonts w:cs="Arial"/>
              </w:rPr>
            </w:pPr>
            <w:r w:rsidRPr="00BA7A20">
              <w:rPr>
                <w:rFonts w:cs="Arial"/>
              </w:rPr>
              <w:t>De Provinciale Staten van Fryslân</w:t>
            </w:r>
            <w:r w:rsidR="00BD7328">
              <w:rPr>
                <w:rFonts w:cs="Arial"/>
              </w:rPr>
              <w:t xml:space="preserve"> spreekt</w:t>
            </w:r>
            <w:r w:rsidRPr="00BA7A20">
              <w:rPr>
                <w:rFonts w:cs="Arial"/>
              </w:rPr>
              <w:t xml:space="preserve"> </w:t>
            </w:r>
            <w:r w:rsidR="00BD7328">
              <w:rPr>
                <w:rFonts w:cs="Arial"/>
              </w:rPr>
              <w:t>zich</w:t>
            </w:r>
            <w:r w:rsidR="00E50855" w:rsidRPr="00BA7A20">
              <w:rPr>
                <w:rFonts w:cs="Arial"/>
              </w:rPr>
              <w:t xml:space="preserve"> uit</w:t>
            </w:r>
            <w:r w:rsidR="00D5331A" w:rsidRPr="00BA7A20">
              <w:rPr>
                <w:rFonts w:cs="Arial"/>
              </w:rPr>
              <w:t>:</w:t>
            </w:r>
          </w:p>
          <w:p w14:paraId="6693EC5F" w14:textId="513D1917" w:rsidR="00D5331A" w:rsidRPr="00BA7A20" w:rsidRDefault="00D5331A" w:rsidP="00D5331A">
            <w:pPr>
              <w:pStyle w:val="Lijstalinea"/>
              <w:numPr>
                <w:ilvl w:val="0"/>
                <w:numId w:val="3"/>
              </w:numPr>
              <w:rPr>
                <w:rFonts w:cs="Arial"/>
              </w:rPr>
            </w:pPr>
            <w:r w:rsidRPr="00BA7A20">
              <w:rPr>
                <w:rFonts w:cs="Arial"/>
              </w:rPr>
              <w:t>dat</w:t>
            </w:r>
            <w:r w:rsidR="004731A0" w:rsidRPr="00BA7A20">
              <w:rPr>
                <w:rFonts w:cs="Arial"/>
              </w:rPr>
              <w:t xml:space="preserve"> het van essentieel belang is dat de provincie Fryslân en</w:t>
            </w:r>
            <w:r w:rsidRPr="00BA7A20">
              <w:rPr>
                <w:rFonts w:cs="Arial"/>
              </w:rPr>
              <w:t xml:space="preserve"> alle Friese gemeenten </w:t>
            </w:r>
            <w:r w:rsidR="00BA7A20" w:rsidRPr="00BA7A20">
              <w:rPr>
                <w:rFonts w:cs="Arial"/>
              </w:rPr>
              <w:t xml:space="preserve">in gezamenlijkheid </w:t>
            </w:r>
            <w:r w:rsidRPr="00BA7A20">
              <w:rPr>
                <w:rFonts w:cs="Arial"/>
              </w:rPr>
              <w:t>meewerken aan het leveren van informatie om het onderzoekswerk van de Noordelijke Rekenkamer</w:t>
            </w:r>
            <w:r w:rsidR="00BF038D" w:rsidRPr="00BA7A20">
              <w:rPr>
                <w:rFonts w:cs="Arial"/>
              </w:rPr>
              <w:t xml:space="preserve"> mogelijk te maken;</w:t>
            </w:r>
          </w:p>
          <w:p w14:paraId="43E2BBDA" w14:textId="6199C3A8" w:rsidR="00D5331A" w:rsidRPr="00BA7A20" w:rsidRDefault="00D5331A" w:rsidP="00D5331A">
            <w:pPr>
              <w:pStyle w:val="Lijstalinea"/>
              <w:numPr>
                <w:ilvl w:val="0"/>
                <w:numId w:val="3"/>
              </w:numPr>
              <w:rPr>
                <w:rFonts w:cs="Arial"/>
              </w:rPr>
            </w:pPr>
            <w:r w:rsidRPr="00BA7A20">
              <w:rPr>
                <w:rFonts w:cs="Arial"/>
              </w:rPr>
              <w:t xml:space="preserve">Dat als </w:t>
            </w:r>
            <w:r w:rsidR="004731A0" w:rsidRPr="00BA7A20">
              <w:rPr>
                <w:rFonts w:cs="Arial"/>
              </w:rPr>
              <w:t xml:space="preserve">de provincie Fryslân en de Friese </w:t>
            </w:r>
            <w:r w:rsidRPr="00BA7A20">
              <w:rPr>
                <w:rFonts w:cs="Arial"/>
              </w:rPr>
              <w:t xml:space="preserve">gemeenten dit niet doen, dit </w:t>
            </w:r>
            <w:r w:rsidR="004731A0" w:rsidRPr="00BA7A20">
              <w:rPr>
                <w:rFonts w:cs="Arial"/>
              </w:rPr>
              <w:t>gedegen</w:t>
            </w:r>
            <w:r w:rsidRPr="00BA7A20">
              <w:rPr>
                <w:rFonts w:cs="Arial"/>
              </w:rPr>
              <w:t xml:space="preserve"> </w:t>
            </w:r>
            <w:r w:rsidR="004731A0" w:rsidRPr="00BA7A20">
              <w:rPr>
                <w:rFonts w:cs="Arial"/>
              </w:rPr>
              <w:t xml:space="preserve">dient te worden </w:t>
            </w:r>
            <w:r w:rsidRPr="00BA7A20">
              <w:rPr>
                <w:rFonts w:cs="Arial"/>
              </w:rPr>
              <w:t>onderbouwd</w:t>
            </w:r>
            <w:r w:rsidR="00BF038D" w:rsidRPr="00BA7A20">
              <w:rPr>
                <w:rFonts w:cs="Arial"/>
              </w:rPr>
              <w:t xml:space="preserve"> en gemotiveerd.</w:t>
            </w:r>
          </w:p>
          <w:p w14:paraId="17CC48E0" w14:textId="77777777" w:rsidR="00E50855" w:rsidRPr="00BA7A20" w:rsidRDefault="00E50855" w:rsidP="00010CF5">
            <w:pPr>
              <w:rPr>
                <w:rFonts w:cs="Arial"/>
              </w:rPr>
            </w:pPr>
          </w:p>
        </w:tc>
      </w:tr>
      <w:tr w:rsidR="00E50855" w:rsidRPr="00BA7A20" w14:paraId="5FE6F735" w14:textId="77777777" w:rsidTr="00010CF5">
        <w:tc>
          <w:tcPr>
            <w:tcW w:w="9212" w:type="dxa"/>
            <w:gridSpan w:val="2"/>
          </w:tcPr>
          <w:p w14:paraId="5DC79038" w14:textId="77777777" w:rsidR="00E50855" w:rsidRPr="00BA7A20" w:rsidRDefault="00E50855" w:rsidP="00010CF5">
            <w:pPr>
              <w:rPr>
                <w:rFonts w:cs="Arial"/>
              </w:rPr>
            </w:pPr>
            <w:r w:rsidRPr="00BA7A20">
              <w:rPr>
                <w:rFonts w:cs="Arial"/>
              </w:rPr>
              <w:lastRenderedPageBreak/>
              <w:t>en gaan over tot de orde van de dag</w:t>
            </w:r>
          </w:p>
          <w:p w14:paraId="114D5C9F" w14:textId="6D47279C" w:rsidR="004047C1" w:rsidRPr="00BA7A20" w:rsidRDefault="004047C1" w:rsidP="00010CF5">
            <w:pPr>
              <w:rPr>
                <w:rFonts w:cs="Arial"/>
              </w:rPr>
            </w:pPr>
          </w:p>
        </w:tc>
      </w:tr>
    </w:tbl>
    <w:p w14:paraId="4D842F30" w14:textId="77777777" w:rsidR="00E50855" w:rsidRPr="00BA7A20" w:rsidRDefault="00E50855">
      <w:pPr>
        <w:rPr>
          <w:rFonts w:cs="Arial"/>
        </w:rPr>
      </w:pPr>
    </w:p>
    <w:tbl>
      <w:tblPr>
        <w:tblStyle w:val="Tabelraster"/>
        <w:tblW w:w="0" w:type="auto"/>
        <w:tblLook w:val="01E0" w:firstRow="1" w:lastRow="1" w:firstColumn="1" w:lastColumn="1" w:noHBand="0" w:noVBand="0"/>
      </w:tblPr>
      <w:tblGrid>
        <w:gridCol w:w="2488"/>
        <w:gridCol w:w="6574"/>
      </w:tblGrid>
      <w:tr w:rsidR="00A53813" w:rsidRPr="00BA7A20" w14:paraId="011D4C24" w14:textId="77777777" w:rsidTr="006B6FAC">
        <w:tc>
          <w:tcPr>
            <w:tcW w:w="2518" w:type="dxa"/>
          </w:tcPr>
          <w:p w14:paraId="011D4C20" w14:textId="77777777" w:rsidR="00A53813" w:rsidRPr="00BA7A20" w:rsidRDefault="00A53813">
            <w:pPr>
              <w:rPr>
                <w:rFonts w:cs="Arial"/>
              </w:rPr>
            </w:pPr>
            <w:r w:rsidRPr="00BA7A20">
              <w:rPr>
                <w:rFonts w:cs="Arial"/>
              </w:rPr>
              <w:t>Indiener(s)</w:t>
            </w:r>
          </w:p>
        </w:tc>
        <w:tc>
          <w:tcPr>
            <w:tcW w:w="6694" w:type="dxa"/>
          </w:tcPr>
          <w:p w14:paraId="7B9617A0" w14:textId="77777777" w:rsidR="00C04975" w:rsidRPr="00BA7A20" w:rsidRDefault="00A53813">
            <w:pPr>
              <w:rPr>
                <w:rFonts w:cs="Arial"/>
              </w:rPr>
            </w:pPr>
            <w:r w:rsidRPr="00BA7A20">
              <w:rPr>
                <w:rFonts w:cs="Arial"/>
              </w:rPr>
              <w:t>(fractie / naam / handtekening)</w:t>
            </w:r>
          </w:p>
          <w:p w14:paraId="43B86179" w14:textId="609080EA" w:rsidR="004731A0" w:rsidRPr="00BA7A20" w:rsidRDefault="004731A0">
            <w:pPr>
              <w:rPr>
                <w:rFonts w:cs="Arial"/>
              </w:rPr>
            </w:pPr>
            <w:r w:rsidRPr="00BA7A20">
              <w:rPr>
                <w:rFonts w:cs="Arial"/>
              </w:rPr>
              <w:t xml:space="preserve">GrienLinks, Jochem Knol </w:t>
            </w:r>
          </w:p>
          <w:p w14:paraId="011D4C23" w14:textId="4EED2AF7" w:rsidR="00D82873" w:rsidRPr="00BA7A20" w:rsidRDefault="00D82873">
            <w:pPr>
              <w:rPr>
                <w:rFonts w:cs="Arial"/>
              </w:rPr>
            </w:pPr>
          </w:p>
        </w:tc>
      </w:tr>
    </w:tbl>
    <w:p w14:paraId="011D4C25" w14:textId="2E395BA7" w:rsidR="00D82873" w:rsidRPr="00BA7A20" w:rsidRDefault="00D82873">
      <w:pPr>
        <w:rPr>
          <w:rFonts w:cs="Arial"/>
        </w:rPr>
      </w:pPr>
    </w:p>
    <w:p w14:paraId="74E271EC" w14:textId="4A1E52D0" w:rsidR="00A53813" w:rsidRPr="00BA7A20" w:rsidRDefault="00A53813">
      <w:pPr>
        <w:rPr>
          <w:rFonts w:cs="Arial"/>
        </w:rPr>
      </w:pPr>
    </w:p>
    <w:sectPr w:rsidR="00A53813" w:rsidRPr="00BA7A20" w:rsidSect="00C7233A">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04F0" w14:textId="77777777" w:rsidR="00100833" w:rsidRDefault="00100833" w:rsidP="00D82873">
      <w:r>
        <w:separator/>
      </w:r>
    </w:p>
  </w:endnote>
  <w:endnote w:type="continuationSeparator" w:id="0">
    <w:p w14:paraId="6F439737" w14:textId="77777777" w:rsidR="00100833" w:rsidRDefault="00100833"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D32B" w14:textId="2CC46CB0" w:rsidR="00D82873" w:rsidRPr="00FF6327" w:rsidRDefault="00E50855" w:rsidP="006B6FAC">
    <w:pPr>
      <w:jc w:val="right"/>
      <w:rPr>
        <w:b/>
        <w:sz w:val="28"/>
      </w:rPr>
    </w:pPr>
    <w:r w:rsidRPr="00FF6327">
      <w:rPr>
        <w:b/>
        <w:sz w:val="28"/>
      </w:rPr>
      <w:t>MOTIE</w:t>
    </w:r>
  </w:p>
  <w:p w14:paraId="705E073C" w14:textId="77777777" w:rsidR="006B6FAC" w:rsidRPr="00D82873" w:rsidRDefault="006B6FAC" w:rsidP="00D82873">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2FAD" w14:textId="77777777" w:rsidR="00100833" w:rsidRDefault="00100833" w:rsidP="00D82873">
      <w:r>
        <w:separator/>
      </w:r>
    </w:p>
  </w:footnote>
  <w:footnote w:type="continuationSeparator" w:id="0">
    <w:p w14:paraId="16236B23" w14:textId="77777777" w:rsidR="00100833" w:rsidRDefault="00100833"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2A25" w14:textId="3BE50B50" w:rsidR="00D82873" w:rsidRPr="00FF6327" w:rsidRDefault="00E50855" w:rsidP="00D82873">
    <w:pPr>
      <w:rPr>
        <w:b/>
        <w:sz w:val="28"/>
      </w:rPr>
    </w:pPr>
    <w:r w:rsidRPr="00FF6327">
      <w:rPr>
        <w:b/>
        <w:sz w:val="28"/>
      </w:rPr>
      <w:t>MOTIE</w:t>
    </w:r>
  </w:p>
  <w:p w14:paraId="5D64961A" w14:textId="77777777" w:rsidR="006B6FAC" w:rsidRDefault="006B6FAC" w:rsidP="00D8287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F4335"/>
    <w:multiLevelType w:val="hybridMultilevel"/>
    <w:tmpl w:val="FB36C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2C2FD4"/>
    <w:multiLevelType w:val="hybridMultilevel"/>
    <w:tmpl w:val="0CBE5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BC079B"/>
    <w:multiLevelType w:val="hybridMultilevel"/>
    <w:tmpl w:val="F4B67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8433688">
    <w:abstractNumId w:val="2"/>
  </w:num>
  <w:num w:numId="2" w16cid:durableId="758328126">
    <w:abstractNumId w:val="0"/>
  </w:num>
  <w:num w:numId="3" w16cid:durableId="181417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785A"/>
    <w:rsid w:val="00057BBD"/>
    <w:rsid w:val="0007016A"/>
    <w:rsid w:val="00083854"/>
    <w:rsid w:val="000A05E8"/>
    <w:rsid w:val="000A3E43"/>
    <w:rsid w:val="000B1EA4"/>
    <w:rsid w:val="000B6622"/>
    <w:rsid w:val="000B7176"/>
    <w:rsid w:val="000C2339"/>
    <w:rsid w:val="00100833"/>
    <w:rsid w:val="00101C33"/>
    <w:rsid w:val="00115CAC"/>
    <w:rsid w:val="00116D45"/>
    <w:rsid w:val="0012361C"/>
    <w:rsid w:val="001273C9"/>
    <w:rsid w:val="00147720"/>
    <w:rsid w:val="0015227F"/>
    <w:rsid w:val="00155CBE"/>
    <w:rsid w:val="00164B9B"/>
    <w:rsid w:val="00185772"/>
    <w:rsid w:val="001872C4"/>
    <w:rsid w:val="00192CB7"/>
    <w:rsid w:val="00195197"/>
    <w:rsid w:val="001A10EE"/>
    <w:rsid w:val="001A241F"/>
    <w:rsid w:val="001B5584"/>
    <w:rsid w:val="001D5101"/>
    <w:rsid w:val="001E0C9C"/>
    <w:rsid w:val="001E73B5"/>
    <w:rsid w:val="00202B8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E543B"/>
    <w:rsid w:val="00310301"/>
    <w:rsid w:val="00310D9C"/>
    <w:rsid w:val="00314021"/>
    <w:rsid w:val="003310D8"/>
    <w:rsid w:val="00366CEF"/>
    <w:rsid w:val="003770CD"/>
    <w:rsid w:val="003842F3"/>
    <w:rsid w:val="003879D9"/>
    <w:rsid w:val="003B0A10"/>
    <w:rsid w:val="003C34B9"/>
    <w:rsid w:val="003D1963"/>
    <w:rsid w:val="003D2545"/>
    <w:rsid w:val="003E791B"/>
    <w:rsid w:val="00402DFA"/>
    <w:rsid w:val="004047C1"/>
    <w:rsid w:val="00417F95"/>
    <w:rsid w:val="004217AB"/>
    <w:rsid w:val="00424469"/>
    <w:rsid w:val="004264A8"/>
    <w:rsid w:val="00431144"/>
    <w:rsid w:val="00431D9D"/>
    <w:rsid w:val="00454F4B"/>
    <w:rsid w:val="00466256"/>
    <w:rsid w:val="00467E94"/>
    <w:rsid w:val="0047244A"/>
    <w:rsid w:val="004731A0"/>
    <w:rsid w:val="00473244"/>
    <w:rsid w:val="00483FD7"/>
    <w:rsid w:val="0049235D"/>
    <w:rsid w:val="004A3C85"/>
    <w:rsid w:val="004C1DE2"/>
    <w:rsid w:val="004C4696"/>
    <w:rsid w:val="004D0E06"/>
    <w:rsid w:val="004E7C38"/>
    <w:rsid w:val="00502296"/>
    <w:rsid w:val="00502991"/>
    <w:rsid w:val="00527803"/>
    <w:rsid w:val="00530123"/>
    <w:rsid w:val="00531335"/>
    <w:rsid w:val="005324DA"/>
    <w:rsid w:val="005330DB"/>
    <w:rsid w:val="005372BA"/>
    <w:rsid w:val="00560455"/>
    <w:rsid w:val="00581210"/>
    <w:rsid w:val="0058237E"/>
    <w:rsid w:val="005C329E"/>
    <w:rsid w:val="005D53DD"/>
    <w:rsid w:val="005E060A"/>
    <w:rsid w:val="005E1B14"/>
    <w:rsid w:val="006053EC"/>
    <w:rsid w:val="006100BC"/>
    <w:rsid w:val="0061184E"/>
    <w:rsid w:val="00616DCB"/>
    <w:rsid w:val="0062204B"/>
    <w:rsid w:val="00634F7A"/>
    <w:rsid w:val="00641298"/>
    <w:rsid w:val="0064613F"/>
    <w:rsid w:val="00647573"/>
    <w:rsid w:val="00647B6D"/>
    <w:rsid w:val="006619DA"/>
    <w:rsid w:val="00663509"/>
    <w:rsid w:val="00663908"/>
    <w:rsid w:val="0067202E"/>
    <w:rsid w:val="006A5197"/>
    <w:rsid w:val="006B5265"/>
    <w:rsid w:val="006B6FAC"/>
    <w:rsid w:val="006B7ED1"/>
    <w:rsid w:val="006C35FA"/>
    <w:rsid w:val="006D21D1"/>
    <w:rsid w:val="006E5092"/>
    <w:rsid w:val="006F4A6E"/>
    <w:rsid w:val="006F60AA"/>
    <w:rsid w:val="00705B26"/>
    <w:rsid w:val="007166C4"/>
    <w:rsid w:val="00724453"/>
    <w:rsid w:val="007471C3"/>
    <w:rsid w:val="0075736F"/>
    <w:rsid w:val="00761292"/>
    <w:rsid w:val="00794D85"/>
    <w:rsid w:val="007C75AA"/>
    <w:rsid w:val="007D3DAC"/>
    <w:rsid w:val="007E425E"/>
    <w:rsid w:val="00811EB4"/>
    <w:rsid w:val="008462A2"/>
    <w:rsid w:val="00852B3F"/>
    <w:rsid w:val="0085339F"/>
    <w:rsid w:val="00861580"/>
    <w:rsid w:val="00866C51"/>
    <w:rsid w:val="00871323"/>
    <w:rsid w:val="00871800"/>
    <w:rsid w:val="00882803"/>
    <w:rsid w:val="00896744"/>
    <w:rsid w:val="00896EEE"/>
    <w:rsid w:val="008A4225"/>
    <w:rsid w:val="008A4B3C"/>
    <w:rsid w:val="008C5F5B"/>
    <w:rsid w:val="008D25D4"/>
    <w:rsid w:val="008D34BE"/>
    <w:rsid w:val="008E0935"/>
    <w:rsid w:val="008E4FDA"/>
    <w:rsid w:val="008F3060"/>
    <w:rsid w:val="008F628E"/>
    <w:rsid w:val="009058C0"/>
    <w:rsid w:val="009368F8"/>
    <w:rsid w:val="00943089"/>
    <w:rsid w:val="00944A35"/>
    <w:rsid w:val="009505B2"/>
    <w:rsid w:val="00966EBE"/>
    <w:rsid w:val="00973F81"/>
    <w:rsid w:val="00993AE4"/>
    <w:rsid w:val="009A0C61"/>
    <w:rsid w:val="009B40A1"/>
    <w:rsid w:val="009C36F1"/>
    <w:rsid w:val="009D167D"/>
    <w:rsid w:val="009D19E6"/>
    <w:rsid w:val="009D5144"/>
    <w:rsid w:val="009E08F7"/>
    <w:rsid w:val="00A03638"/>
    <w:rsid w:val="00A20AC5"/>
    <w:rsid w:val="00A22F2A"/>
    <w:rsid w:val="00A265CD"/>
    <w:rsid w:val="00A30D5F"/>
    <w:rsid w:val="00A32614"/>
    <w:rsid w:val="00A3583C"/>
    <w:rsid w:val="00A44ABA"/>
    <w:rsid w:val="00A53813"/>
    <w:rsid w:val="00A750F3"/>
    <w:rsid w:val="00AD5351"/>
    <w:rsid w:val="00B12874"/>
    <w:rsid w:val="00B2083C"/>
    <w:rsid w:val="00B25973"/>
    <w:rsid w:val="00B4597D"/>
    <w:rsid w:val="00B544C8"/>
    <w:rsid w:val="00B70ACD"/>
    <w:rsid w:val="00B71E3E"/>
    <w:rsid w:val="00B761C5"/>
    <w:rsid w:val="00B82526"/>
    <w:rsid w:val="00B82B67"/>
    <w:rsid w:val="00BA4986"/>
    <w:rsid w:val="00BA7A20"/>
    <w:rsid w:val="00BB7062"/>
    <w:rsid w:val="00BC5F6D"/>
    <w:rsid w:val="00BD7328"/>
    <w:rsid w:val="00BE57CB"/>
    <w:rsid w:val="00BF038D"/>
    <w:rsid w:val="00BF3CAA"/>
    <w:rsid w:val="00BF6CF4"/>
    <w:rsid w:val="00C04975"/>
    <w:rsid w:val="00C211D3"/>
    <w:rsid w:val="00C36FB8"/>
    <w:rsid w:val="00C500E0"/>
    <w:rsid w:val="00C533CE"/>
    <w:rsid w:val="00C57188"/>
    <w:rsid w:val="00C578DA"/>
    <w:rsid w:val="00C61567"/>
    <w:rsid w:val="00C705B0"/>
    <w:rsid w:val="00C7233A"/>
    <w:rsid w:val="00C74F03"/>
    <w:rsid w:val="00C814EF"/>
    <w:rsid w:val="00C84E7E"/>
    <w:rsid w:val="00C91151"/>
    <w:rsid w:val="00CB583C"/>
    <w:rsid w:val="00CB6AFB"/>
    <w:rsid w:val="00CC4949"/>
    <w:rsid w:val="00CC5AC1"/>
    <w:rsid w:val="00CD3568"/>
    <w:rsid w:val="00CD47F8"/>
    <w:rsid w:val="00CD5DC1"/>
    <w:rsid w:val="00CE1A9C"/>
    <w:rsid w:val="00CE1DFE"/>
    <w:rsid w:val="00CF3954"/>
    <w:rsid w:val="00D002DA"/>
    <w:rsid w:val="00D144E1"/>
    <w:rsid w:val="00D211A7"/>
    <w:rsid w:val="00D354BF"/>
    <w:rsid w:val="00D5331A"/>
    <w:rsid w:val="00D635CC"/>
    <w:rsid w:val="00D654BF"/>
    <w:rsid w:val="00D71108"/>
    <w:rsid w:val="00D7250E"/>
    <w:rsid w:val="00D743DB"/>
    <w:rsid w:val="00D76269"/>
    <w:rsid w:val="00D82873"/>
    <w:rsid w:val="00D8457D"/>
    <w:rsid w:val="00D91F4B"/>
    <w:rsid w:val="00D97EA8"/>
    <w:rsid w:val="00DA0F0D"/>
    <w:rsid w:val="00DA532E"/>
    <w:rsid w:val="00DB1293"/>
    <w:rsid w:val="00DB4E24"/>
    <w:rsid w:val="00DB7B09"/>
    <w:rsid w:val="00DC4FE0"/>
    <w:rsid w:val="00DD6B8E"/>
    <w:rsid w:val="00DF375B"/>
    <w:rsid w:val="00DF601B"/>
    <w:rsid w:val="00E00E66"/>
    <w:rsid w:val="00E043A4"/>
    <w:rsid w:val="00E35D5B"/>
    <w:rsid w:val="00E41C5E"/>
    <w:rsid w:val="00E44745"/>
    <w:rsid w:val="00E50855"/>
    <w:rsid w:val="00E6608D"/>
    <w:rsid w:val="00E76585"/>
    <w:rsid w:val="00E847F9"/>
    <w:rsid w:val="00E8770F"/>
    <w:rsid w:val="00E93C1D"/>
    <w:rsid w:val="00E9436D"/>
    <w:rsid w:val="00EA3A7D"/>
    <w:rsid w:val="00EA57BC"/>
    <w:rsid w:val="00EA5A94"/>
    <w:rsid w:val="00ED398B"/>
    <w:rsid w:val="00ED5079"/>
    <w:rsid w:val="00ED6B1D"/>
    <w:rsid w:val="00ED7F98"/>
    <w:rsid w:val="00F11F97"/>
    <w:rsid w:val="00F144C8"/>
    <w:rsid w:val="00F14B6E"/>
    <w:rsid w:val="00F16574"/>
    <w:rsid w:val="00F248C8"/>
    <w:rsid w:val="00F3707F"/>
    <w:rsid w:val="00F37908"/>
    <w:rsid w:val="00F40EAA"/>
    <w:rsid w:val="00F71D60"/>
    <w:rsid w:val="00F81B8E"/>
    <w:rsid w:val="00F823D5"/>
    <w:rsid w:val="00FA0CE3"/>
    <w:rsid w:val="00FA1608"/>
    <w:rsid w:val="00FB6967"/>
    <w:rsid w:val="00FC2D50"/>
    <w:rsid w:val="00FE5F72"/>
    <w:rsid w:val="00FE7C1D"/>
    <w:rsid w:val="00FF4247"/>
    <w:rsid w:val="00FF6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 w:type="paragraph" w:styleId="Lijstalinea">
    <w:name w:val="List Paragraph"/>
    <w:basedOn w:val="Standaard"/>
    <w:uiPriority w:val="34"/>
    <w:qFormat/>
    <w:rsid w:val="0033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3ddf19-c7e2-4f2d-8e7c-4a6b273b624a">GRIF-12-203</_dlc_DocId>
    <_dlc_DocIdUrl xmlns="453ddf19-c7e2-4f2d-8e7c-4a6b273b624a">
      <Url>https://wurkpleinps.fryslan.nl/_layouts/DocIdRedir.aspx?ID=GRIF-12-203</Url>
      <Description>GRIF-12-203</Description>
    </_dlc_DocIdUrl>
    <dad82ab3abba4e0480ccc349dcae3dca xmlns="cc43c208-5f9f-4e46-94fa-c49170bf162f">
      <Terms xmlns="http://schemas.microsoft.com/office/infopath/2007/PartnerControls"/>
    </dad82ab3abba4e0480ccc349dcae3dca>
    <TaxKeywordTaxHTField xmlns="453ddf19-c7e2-4f2d-8e7c-4a6b273b624a">
      <Terms xmlns="http://schemas.microsoft.com/office/infopath/2007/PartnerControls"/>
    </TaxKeywordTaxHTField>
    <pfDatumOpmaakDocument xmlns="cc43c208-5f9f-4e46-94fa-c49170bf162f" xsi:nil="true"/>
    <eb4b9c2341314326bb8ea3fe54b3699f xmlns="cc43c208-5f9f-4e46-94fa-c49170bf162f">
      <Terms xmlns="http://schemas.microsoft.com/office/infopath/2007/PartnerControls"/>
    </eb4b9c2341314326bb8ea3fe54b3699f>
    <pfBehandelaar xmlns="cc43c208-5f9f-4e46-94fa-c49170bf162f">
      <UserInfo>
        <DisplayName/>
        <AccountId xsi:nil="true"/>
        <AccountType/>
      </UserInfo>
    </pfBehandelaar>
    <pfOndertekenaar xmlns="cc43c208-5f9f-4e46-94fa-c49170bf162f">
      <UserInfo>
        <DisplayName/>
        <AccountId xsi:nil="true"/>
        <AccountType/>
      </UserInfo>
    </pfOndertekenaar>
    <TaxCatchAll xmlns="453ddf19-c7e2-4f2d-8e7c-4a6b273b624a"/>
    <ic7bc0bece1c448f8ceec46a4675dd9b xmlns="cc43c208-5f9f-4e46-94fa-c49170bf162f">
      <Terms xmlns="http://schemas.microsoft.com/office/infopath/2007/PartnerControls"/>
    </ic7bc0bece1c448f8ceec46a4675dd9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asisdocument" ma:contentTypeID="0x010100C6F10EFD5B58FC4EA33F07AE3C71AC13008DA9C3714169AC48B9CEE4ECE598B5AE" ma:contentTypeVersion="25" ma:contentTypeDescription="" ma:contentTypeScope="" ma:versionID="a49d42223733f95e3dbb401930984d32">
  <xsd:schema xmlns:xsd="http://www.w3.org/2001/XMLSchema" xmlns:xs="http://www.w3.org/2001/XMLSchema" xmlns:p="http://schemas.microsoft.com/office/2006/metadata/properties" xmlns:ns2="cc43c208-5f9f-4e46-94fa-c49170bf162f" xmlns:ns3="453ddf19-c7e2-4f2d-8e7c-4a6b273b624a" xmlns:ns4="b811f92a-ddea-4d7c-b3bb-e7950e15ba36" targetNamespace="http://schemas.microsoft.com/office/2006/metadata/properties" ma:root="true" ma:fieldsID="4980d8b85c79987b24e2df62e7d90a89" ns2:_="" ns3:_="" ns4:_="">
    <xsd:import namespace="cc43c208-5f9f-4e46-94fa-c49170bf162f"/>
    <xsd:import namespace="453ddf19-c7e2-4f2d-8e7c-4a6b273b624a"/>
    <xsd:import namespace="b811f92a-ddea-4d7c-b3bb-e7950e15ba36"/>
    <xsd:element name="properties">
      <xsd:complexType>
        <xsd:sequence>
          <xsd:element name="documentManagement">
            <xsd:complexType>
              <xsd:all>
                <xsd:element ref="ns2:ic7bc0bece1c448f8ceec46a4675dd9b" minOccurs="0"/>
                <xsd:element ref="ns3:TaxKeywordTaxHTField"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3:_dlc_DocId" minOccurs="0"/>
                <xsd:element ref="ns3:_dlc_DocIdUrl" minOccurs="0"/>
                <xsd:element ref="ns3:_dlc_DocIdPersistId" minOccurs="0"/>
                <xsd:element ref="ns3:TaxCatchAll" minOccurs="0"/>
                <xsd:element ref="ns3:TaxCatchAllLabe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208-5f9f-4e46-94fa-c49170bf162f"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5f28f5b3-15d3-4dca-80b5-996af80f6a89" ma:anchorId="00000000-0000-0000-0000-000000000000" ma:open="false" ma:isKeyword="false">
      <xsd:complexType>
        <xsd:sequence>
          <xsd:element ref="pc:Terms" minOccurs="0" maxOccurs="1"/>
        </xsd:sequence>
      </xsd:complexType>
    </xsd:element>
    <xsd:element name="pfBehandelaar" ma:index="12"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3"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4" nillable="true" ma:displayName="Datum opmaak document" ma:format="DateOnly" ma:internalName="pfDatumOpmaakDocument">
      <xsd:simpleType>
        <xsd:restriction base="dms:DateTime"/>
      </xsd:simpleType>
    </xsd:element>
    <xsd:element name="dad82ab3abba4e0480ccc349dcae3dca" ma:index="15"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7"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3ddf19-c7e2-4f2d-8e7c-4a6b273b624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Catch-all-kolom van taxonomie" ma:hidden="true" ma:list="{bf3d4248-937e-47b9-b003-a25da475e6ff}" ma:internalName="TaxCatchAll" ma:showField="CatchAllData" ma:web="453ddf19-c7e2-4f2d-8e7c-4a6b273b624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Catch-all-kolom van taxonomie1" ma:hidden="true" ma:list="{bf3d4248-937e-47b9-b003-a25da475e6ff}" ma:internalName="TaxCatchAllLabel" ma:readOnly="true" ma:showField="CatchAllDataLabel" ma:web="453ddf19-c7e2-4f2d-8e7c-4a6b273b6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1f92a-ddea-4d7c-b3bb-e7950e15b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11977-A3A3-4FA4-8B74-FEB9E8F9C42B}">
  <ds:schemaRefs>
    <ds:schemaRef ds:uri="http://schemas.microsoft.com/sharepoint/events"/>
  </ds:schemaRefs>
</ds:datastoreItem>
</file>

<file path=customXml/itemProps2.xml><?xml version="1.0" encoding="utf-8"?>
<ds:datastoreItem xmlns:ds="http://schemas.openxmlformats.org/officeDocument/2006/customXml" ds:itemID="{42F6B71D-8C4B-40D8-B1EC-C5697F98310F}">
  <ds:schemaRefs>
    <ds:schemaRef ds:uri="http://schemas.microsoft.com/sharepoint/v3/contenttype/forms"/>
  </ds:schemaRefs>
</ds:datastoreItem>
</file>

<file path=customXml/itemProps3.xml><?xml version="1.0" encoding="utf-8"?>
<ds:datastoreItem xmlns:ds="http://schemas.openxmlformats.org/officeDocument/2006/customXml" ds:itemID="{1F134F2B-66BD-45F9-9E0D-9632EB665E13}">
  <ds:schemaRefs>
    <ds:schemaRef ds:uri="http://schemas.microsoft.com/office/2006/metadata/properties"/>
    <ds:schemaRef ds:uri="http://schemas.microsoft.com/office/infopath/2007/PartnerControls"/>
    <ds:schemaRef ds:uri="453ddf19-c7e2-4f2d-8e7c-4a6b273b624a"/>
    <ds:schemaRef ds:uri="cc43c208-5f9f-4e46-94fa-c49170bf162f"/>
  </ds:schemaRefs>
</ds:datastoreItem>
</file>

<file path=customXml/itemProps4.xml><?xml version="1.0" encoding="utf-8"?>
<ds:datastoreItem xmlns:ds="http://schemas.openxmlformats.org/officeDocument/2006/customXml" ds:itemID="{E46308D9-25FD-4DFA-95AF-5E55223A00FA}">
  <ds:schemaRefs>
    <ds:schemaRef ds:uri="http://schemas.openxmlformats.org/officeDocument/2006/bibliography"/>
  </ds:schemaRefs>
</ds:datastoreItem>
</file>

<file path=customXml/itemProps5.xml><?xml version="1.0" encoding="utf-8"?>
<ds:datastoreItem xmlns:ds="http://schemas.openxmlformats.org/officeDocument/2006/customXml" ds:itemID="{6EDDC7F1-9DED-4CCF-B4CA-56909EAF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208-5f9f-4e46-94fa-c49170bf162f"/>
    <ds:schemaRef ds:uri="453ddf19-c7e2-4f2d-8e7c-4a6b273b624a"/>
    <ds:schemaRef ds:uri="b811f92a-ddea-4d7c-b3bb-e7950e15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Koopmans, Idske</cp:lastModifiedBy>
  <cp:revision>5</cp:revision>
  <cp:lastPrinted>2014-11-05T14:55:00Z</cp:lastPrinted>
  <dcterms:created xsi:type="dcterms:W3CDTF">2025-11-24T13:18:00Z</dcterms:created>
  <dcterms:modified xsi:type="dcterms:W3CDTF">2025-11-24T13:49:00Z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0x010100C6F10EFD5B58FC4EA33F07AE3C71AC13008DA9C3714169AC48B9CEE4ECE598B5AE</vt:lpwstr>
  </property>
  <property fmtid="{D5CDD505-2E9C-101B-9397-08002B2CF9AE}" pid="3" name="_dlc_DocIdItemGuid">
    <vt:lpwstr>e07edfaa-d0d2-410f-a863-f9a400d9b926</vt:lpwstr>
  </property>
</Properties>
</file>